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4EF1" w14:textId="77777777" w:rsidR="000A328F" w:rsidRPr="00351173" w:rsidRDefault="000A328F" w:rsidP="000A328F">
      <w:pPr>
        <w:pStyle w:val="Heading1"/>
        <w:spacing w:after="120"/>
        <w:jc w:val="both"/>
        <w:rPr>
          <w:rFonts w:ascii="Times New Roman" w:hAnsi="Times New Roman" w:cs="Times New Roman"/>
          <w:b/>
          <w:lang w:val="sr-Latn-RS"/>
        </w:rPr>
      </w:pPr>
      <w:r w:rsidRPr="00351173">
        <w:rPr>
          <w:rFonts w:ascii="Times New Roman" w:hAnsi="Times New Roman" w:cs="Times New Roman"/>
          <w:b/>
          <w:lang w:val="sr-Latn-RS"/>
        </w:rPr>
        <w:t xml:space="preserve">KVARTALNI MONITOR BR. </w:t>
      </w:r>
      <w:r w:rsidR="007A2D7F" w:rsidRPr="00351173">
        <w:rPr>
          <w:rFonts w:ascii="Times New Roman" w:hAnsi="Times New Roman" w:cs="Times New Roman"/>
          <w:b/>
          <w:lang w:val="sr-Latn-RS"/>
        </w:rPr>
        <w:t>6</w:t>
      </w:r>
      <w:r w:rsidR="008548C6" w:rsidRPr="00351173">
        <w:rPr>
          <w:rFonts w:ascii="Times New Roman" w:hAnsi="Times New Roman" w:cs="Times New Roman"/>
          <w:b/>
          <w:lang w:val="sr-Latn-RS"/>
        </w:rPr>
        <w:t>8</w:t>
      </w:r>
    </w:p>
    <w:p w14:paraId="17EB42E7" w14:textId="77777777" w:rsidR="000A328F" w:rsidRPr="00351173" w:rsidRDefault="000A328F" w:rsidP="000A328F">
      <w:pPr>
        <w:spacing w:after="240"/>
        <w:jc w:val="both"/>
        <w:rPr>
          <w:b/>
          <w:i/>
          <w:lang w:val="sr-Latn-RS"/>
        </w:rPr>
      </w:pPr>
      <w:r w:rsidRPr="00351173">
        <w:rPr>
          <w:b/>
          <w:i/>
          <w:lang w:val="sr-Latn-RS"/>
        </w:rPr>
        <w:t>Saopštenje za medije</w:t>
      </w:r>
    </w:p>
    <w:p w14:paraId="3772591B" w14:textId="77777777" w:rsidR="001D4C19" w:rsidRPr="00351173" w:rsidRDefault="000A328F" w:rsidP="001D4C19">
      <w:pPr>
        <w:jc w:val="both"/>
        <w:rPr>
          <w:lang w:val="sr-Latn-RS"/>
        </w:rPr>
      </w:pPr>
      <w:r w:rsidRPr="00351173">
        <w:rPr>
          <w:b/>
          <w:lang w:val="sr-Latn-RS"/>
        </w:rPr>
        <w:t xml:space="preserve">BEOGRAD, </w:t>
      </w:r>
      <w:r w:rsidR="007A2D7F" w:rsidRPr="00351173">
        <w:rPr>
          <w:b/>
          <w:lang w:val="sr-Latn-RS"/>
        </w:rPr>
        <w:t>2</w:t>
      </w:r>
      <w:r w:rsidR="008548C6" w:rsidRPr="00351173">
        <w:rPr>
          <w:b/>
          <w:lang w:val="sr-Latn-RS"/>
        </w:rPr>
        <w:t>3</w:t>
      </w:r>
      <w:r w:rsidR="00AC6E17" w:rsidRPr="00351173">
        <w:rPr>
          <w:b/>
          <w:lang w:val="sr-Latn-RS"/>
        </w:rPr>
        <w:t>.</w:t>
      </w:r>
      <w:r w:rsidR="00E2375A" w:rsidRPr="00351173">
        <w:rPr>
          <w:b/>
          <w:lang w:val="sr-Latn-RS"/>
        </w:rPr>
        <w:t xml:space="preserve">jun </w:t>
      </w:r>
      <w:r w:rsidR="00913EFC" w:rsidRPr="00351173">
        <w:rPr>
          <w:b/>
          <w:lang w:val="sr-Latn-RS"/>
        </w:rPr>
        <w:t>202</w:t>
      </w:r>
      <w:r w:rsidR="00AB0717" w:rsidRPr="00351173">
        <w:rPr>
          <w:b/>
          <w:lang w:val="sr-Latn-RS"/>
        </w:rPr>
        <w:t>2</w:t>
      </w:r>
      <w:r w:rsidR="00913EFC" w:rsidRPr="00351173">
        <w:rPr>
          <w:b/>
          <w:lang w:val="sr-Latn-RS"/>
        </w:rPr>
        <w:t xml:space="preserve">. godine </w:t>
      </w:r>
      <w:r w:rsidRPr="00351173">
        <w:rPr>
          <w:lang w:val="sr-Latn-RS"/>
        </w:rPr>
        <w:t xml:space="preserve"> – Autori najnovijeg, </w:t>
      </w:r>
      <w:r w:rsidR="007A2D7F" w:rsidRPr="00351173">
        <w:rPr>
          <w:lang w:val="sr-Latn-RS"/>
        </w:rPr>
        <w:t>6</w:t>
      </w:r>
      <w:r w:rsidR="008548C6" w:rsidRPr="00351173">
        <w:rPr>
          <w:lang w:val="sr-Latn-RS"/>
        </w:rPr>
        <w:t>8</w:t>
      </w:r>
      <w:r w:rsidRPr="00351173">
        <w:rPr>
          <w:lang w:val="sr-Latn-RS"/>
        </w:rPr>
        <w:t>. broja Kvartalnog monitora, u izdanju Ekonomskog fakulteta u Beogradu i FREN-a, istakli su sledeće</w:t>
      </w:r>
    </w:p>
    <w:p w14:paraId="38D13BB3" w14:textId="77777777" w:rsidR="00E2375A" w:rsidRPr="00351173" w:rsidRDefault="00E2375A" w:rsidP="000D3CAA">
      <w:pPr>
        <w:jc w:val="both"/>
        <w:rPr>
          <w:lang w:val="sr-Latn-RS"/>
        </w:rPr>
      </w:pPr>
    </w:p>
    <w:p w14:paraId="4DEC022A" w14:textId="77777777" w:rsidR="00E2375A" w:rsidRPr="00351173" w:rsidRDefault="00E2375A" w:rsidP="000D3CAA">
      <w:pPr>
        <w:jc w:val="both"/>
        <w:rPr>
          <w:lang w:val="sr-Latn-RS"/>
        </w:rPr>
      </w:pPr>
      <w:r w:rsidRPr="00351173">
        <w:rPr>
          <w:color w:val="000000"/>
          <w:lang w:val="sr-Latn-RS"/>
        </w:rPr>
        <w:t xml:space="preserve">Početkom 2022. dolazi do znatnog pogoršanja najvažnijih makroekonomskih trendova u Srbiji. Privredna aktivnost je usporila, inflacija je dodatno ubrzana, a spoljni deficiti su znatno </w:t>
      </w:r>
      <w:r w:rsidR="00351173" w:rsidRPr="00351173">
        <w:rPr>
          <w:color w:val="000000"/>
          <w:lang w:val="sr-Latn-RS"/>
        </w:rPr>
        <w:t>povećani</w:t>
      </w:r>
      <w:r w:rsidRPr="00351173">
        <w:rPr>
          <w:color w:val="000000"/>
          <w:lang w:val="sr-Latn-RS"/>
        </w:rPr>
        <w:t xml:space="preserve">. Veći deo ovih pogoršanja posledica je globalnih nestabilnosti – izbijanja rata u Ukrajini uz već postojeću energetsku krizu i visoku uvoznu inflaciju. Deo makroekonomskih pogoršanja iz Q1 duguje se i neodgovarajućim domaćim politikama – katastrofalnim upravljanjem javnim preduzećima iz energetskog sektora, preterano ekspanzivnoj fiskalnoj politici (naročito u pogledu izdašnih neselektivnih davanja stanovništvu i privredi) i nešto </w:t>
      </w:r>
      <w:proofErr w:type="spellStart"/>
      <w:r w:rsidRPr="00351173">
        <w:rPr>
          <w:color w:val="000000"/>
          <w:lang w:val="sr-Latn-RS"/>
        </w:rPr>
        <w:t>zakasneloj</w:t>
      </w:r>
      <w:proofErr w:type="spellEnd"/>
      <w:r w:rsidRPr="00351173">
        <w:rPr>
          <w:color w:val="000000"/>
          <w:lang w:val="sr-Latn-RS"/>
        </w:rPr>
        <w:t xml:space="preserve"> reakciji monetarnih vlasti na ubrzanje inflacije.</w:t>
      </w:r>
    </w:p>
    <w:p w14:paraId="721BF1AD" w14:textId="77777777" w:rsidR="009F5DC3" w:rsidRPr="00351173" w:rsidRDefault="00F15FCF" w:rsidP="000D3CAA">
      <w:pPr>
        <w:jc w:val="both"/>
        <w:rPr>
          <w:lang w:val="sr-Latn-RS"/>
        </w:rPr>
      </w:pPr>
      <w:r w:rsidRPr="00351173">
        <w:rPr>
          <w:lang w:val="sr-Latn-RS"/>
        </w:rPr>
        <w:t xml:space="preserve"> </w:t>
      </w:r>
      <w:r w:rsidR="009F5DC3" w:rsidRPr="00351173">
        <w:rPr>
          <w:lang w:val="sr-Latn-RS"/>
        </w:rPr>
        <w:t xml:space="preserve"> </w:t>
      </w:r>
    </w:p>
    <w:p w14:paraId="351373AF" w14:textId="77777777" w:rsidR="00E2375A" w:rsidRPr="00351173" w:rsidRDefault="00E2375A" w:rsidP="00E2375A">
      <w:pPr>
        <w:jc w:val="both"/>
        <w:rPr>
          <w:color w:val="000000"/>
          <w:lang w:val="sr-Latn-RS"/>
        </w:rPr>
      </w:pPr>
      <w:r w:rsidRPr="00351173">
        <w:rPr>
          <w:color w:val="000000"/>
          <w:lang w:val="sr-Latn-RS"/>
        </w:rPr>
        <w:t>Međugodišnji rast BDP-a Srbije u Q1 iznosio je 4,4% BDP-a, što na prvi pogled može izgledati kao solidan rezultat, ali zapravo predstavlja znatno usporavanje u odnosu na stope rasta od sedam i više procenata koje su ostvarivane tokom 2021. godine</w:t>
      </w:r>
      <w:r w:rsidR="00351173">
        <w:rPr>
          <w:color w:val="000000"/>
          <w:lang w:val="sr-Latn-RS"/>
        </w:rPr>
        <w:t xml:space="preserve"> (d</w:t>
      </w:r>
      <w:r w:rsidRPr="00351173">
        <w:rPr>
          <w:color w:val="000000"/>
          <w:lang w:val="sr-Latn-RS"/>
        </w:rPr>
        <w:t>esezonirani podaci potvrđuju da je početkom 2022. došlo do zastoja u privrednom rastu</w:t>
      </w:r>
      <w:r w:rsidR="00351173">
        <w:rPr>
          <w:color w:val="000000"/>
          <w:lang w:val="sr-Latn-RS"/>
        </w:rPr>
        <w:t>)</w:t>
      </w:r>
      <w:r w:rsidRPr="00351173">
        <w:rPr>
          <w:color w:val="000000"/>
          <w:lang w:val="sr-Latn-RS"/>
        </w:rPr>
        <w:t>. Ostvareni desezonirani BDP u Q1 bio je 0,5% manji nego u prethodnom kvartalu – što je prvi put od drugog kvartala 2020. da desezonirani BDP beleži pad u odnosu na prethodni kvartal. Iza kočenja privrednog rasta stoje snažno usporavanje investicija i pogoršanje neto izvoza koji će najverovat</w:t>
      </w:r>
      <w:r w:rsidR="00351173">
        <w:rPr>
          <w:color w:val="000000"/>
          <w:lang w:val="sr-Latn-RS"/>
        </w:rPr>
        <w:t>n</w:t>
      </w:r>
      <w:r w:rsidRPr="00351173">
        <w:rPr>
          <w:color w:val="000000"/>
          <w:lang w:val="sr-Latn-RS"/>
        </w:rPr>
        <w:t>ije biti nešto trajnije prirode. Zbog toga smatramo da privreda sad ulazi u period niskog rasta ili stagnacije. Uzimajući u obzir lošije rezultate od očekivanja iz Q1, ali i brojne neizvesnosti s kojima će se privreda Srbije suočavati tokom godine, trenutno prognoziramo da bi rast BDP-a Srbije u 2022. mogao da bude do 3%.</w:t>
      </w:r>
    </w:p>
    <w:p w14:paraId="4649C189" w14:textId="77777777" w:rsidR="000576B7" w:rsidRPr="00351173" w:rsidRDefault="000576B7" w:rsidP="00E2375A">
      <w:pPr>
        <w:jc w:val="both"/>
        <w:rPr>
          <w:color w:val="000000"/>
          <w:lang w:val="sr-Latn-RS"/>
        </w:rPr>
      </w:pPr>
    </w:p>
    <w:p w14:paraId="1692911E" w14:textId="77777777" w:rsidR="00294802" w:rsidRPr="00351173" w:rsidRDefault="000576B7" w:rsidP="00E2375A">
      <w:pPr>
        <w:jc w:val="both"/>
        <w:rPr>
          <w:color w:val="000000"/>
          <w:lang w:val="sr-Latn-RS"/>
        </w:rPr>
      </w:pPr>
      <w:r w:rsidRPr="00351173">
        <w:rPr>
          <w:color w:val="000000"/>
          <w:lang w:val="sr-Latn-RS"/>
        </w:rPr>
        <w:t>Visoka inflacija je globalni trend koji je započet još sredinom 2021, a sad je naročito pojačan nakon izbijanja rata u Ukrajini. Inflacija u Srbiji je tokom 2022. ubrzavala iz meseca u mesec i prema majskim podacima međugodišnji rast cena iznosio je 10,4%. Dve trećine poskupljenja prosečne potrošačke korpe u Srbiji u proteklih godinu dana može se pripisati rastu cena hrane i naftnih derivata, ali se u poslednjih nekoliko meseci rast cena postepeno širi i na ostale proizvode.</w:t>
      </w:r>
      <w:r w:rsidR="00557575" w:rsidRPr="00351173">
        <w:rPr>
          <w:color w:val="000000"/>
          <w:lang w:val="sr-Latn-RS"/>
        </w:rPr>
        <w:t xml:space="preserve"> NBS je od početka godine usporavala inflaciju odbranom fiksnog kursa</w:t>
      </w:r>
      <w:r w:rsidR="00EA46BD" w:rsidRPr="00351173">
        <w:rPr>
          <w:color w:val="000000"/>
          <w:lang w:val="sr-Latn-RS"/>
        </w:rPr>
        <w:t>, sm</w:t>
      </w:r>
      <w:r w:rsidR="00541444" w:rsidRPr="00351173">
        <w:rPr>
          <w:color w:val="000000"/>
          <w:lang w:val="sr-Latn-RS"/>
        </w:rPr>
        <w:t>a</w:t>
      </w:r>
      <w:r w:rsidR="00EA46BD" w:rsidRPr="00351173">
        <w:rPr>
          <w:color w:val="000000"/>
          <w:lang w:val="sr-Latn-RS"/>
        </w:rPr>
        <w:t>nje</w:t>
      </w:r>
      <w:r w:rsidR="00541444" w:rsidRPr="00351173">
        <w:rPr>
          <w:color w:val="000000"/>
          <w:lang w:val="sr-Latn-RS"/>
        </w:rPr>
        <w:t>nje</w:t>
      </w:r>
      <w:r w:rsidR="00EA46BD" w:rsidRPr="00351173">
        <w:rPr>
          <w:color w:val="000000"/>
          <w:lang w:val="sr-Latn-RS"/>
        </w:rPr>
        <w:t>m</w:t>
      </w:r>
      <w:r w:rsidR="00541444" w:rsidRPr="00351173">
        <w:rPr>
          <w:color w:val="000000"/>
          <w:lang w:val="sr-Latn-RS"/>
        </w:rPr>
        <w:t xml:space="preserve"> </w:t>
      </w:r>
      <w:r w:rsidR="00351173">
        <w:rPr>
          <w:color w:val="000000"/>
          <w:lang w:val="sr-Latn-RS"/>
        </w:rPr>
        <w:t>nov</w:t>
      </w:r>
      <w:r w:rsidR="00EA46BD" w:rsidRPr="00351173">
        <w:rPr>
          <w:color w:val="000000"/>
          <w:lang w:val="sr-Latn-RS"/>
        </w:rPr>
        <w:t>čane mase za blizu 10% kroz prod</w:t>
      </w:r>
      <w:r w:rsidR="00541444" w:rsidRPr="00351173">
        <w:rPr>
          <w:color w:val="000000"/>
          <w:lang w:val="sr-Latn-RS"/>
        </w:rPr>
        <w:t>a</w:t>
      </w:r>
      <w:r w:rsidR="00EA46BD" w:rsidRPr="00351173">
        <w:rPr>
          <w:color w:val="000000"/>
          <w:lang w:val="sr-Latn-RS"/>
        </w:rPr>
        <w:t>ju deviza i REPO operacije, a od aprila i pov</w:t>
      </w:r>
      <w:r w:rsidR="00541444" w:rsidRPr="00351173">
        <w:rPr>
          <w:color w:val="000000"/>
          <w:lang w:val="sr-Latn-RS"/>
        </w:rPr>
        <w:t>e</w:t>
      </w:r>
      <w:r w:rsidR="00EA46BD" w:rsidRPr="00351173">
        <w:rPr>
          <w:color w:val="000000"/>
          <w:lang w:val="sr-Latn-RS"/>
        </w:rPr>
        <w:t>ćanjem ref</w:t>
      </w:r>
      <w:r w:rsidR="00351173">
        <w:rPr>
          <w:color w:val="000000"/>
          <w:lang w:val="sr-Latn-RS"/>
        </w:rPr>
        <w:t>erent</w:t>
      </w:r>
      <w:r w:rsidR="00EA46BD" w:rsidRPr="00351173">
        <w:rPr>
          <w:color w:val="000000"/>
          <w:lang w:val="sr-Latn-RS"/>
        </w:rPr>
        <w:t xml:space="preserve">ne kamatne stope. Vlada republike Srbije je usporavala inflaciju smanjenjem akciza na </w:t>
      </w:r>
      <w:r w:rsidR="00351173" w:rsidRPr="00351173">
        <w:rPr>
          <w:color w:val="000000"/>
          <w:lang w:val="sr-Latn-RS"/>
        </w:rPr>
        <w:t>naftne</w:t>
      </w:r>
      <w:r w:rsidR="00EA46BD" w:rsidRPr="00351173">
        <w:rPr>
          <w:color w:val="000000"/>
          <w:lang w:val="sr-Latn-RS"/>
        </w:rPr>
        <w:t xml:space="preserve"> derivate i admin</w:t>
      </w:r>
      <w:r w:rsidR="00541444" w:rsidRPr="00351173">
        <w:rPr>
          <w:color w:val="000000"/>
          <w:lang w:val="sr-Latn-RS"/>
        </w:rPr>
        <w:t>i</w:t>
      </w:r>
      <w:r w:rsidR="00EA46BD" w:rsidRPr="00351173">
        <w:rPr>
          <w:color w:val="000000"/>
          <w:lang w:val="sr-Latn-RS"/>
        </w:rPr>
        <w:t>s</w:t>
      </w:r>
      <w:r w:rsidR="00541444" w:rsidRPr="00351173">
        <w:rPr>
          <w:color w:val="000000"/>
          <w:lang w:val="sr-Latn-RS"/>
        </w:rPr>
        <w:t>trati</w:t>
      </w:r>
      <w:r w:rsidR="00EA46BD" w:rsidRPr="00351173">
        <w:rPr>
          <w:color w:val="000000"/>
          <w:lang w:val="sr-Latn-RS"/>
        </w:rPr>
        <w:t>vnom kont</w:t>
      </w:r>
      <w:r w:rsidR="00541444" w:rsidRPr="00351173">
        <w:rPr>
          <w:color w:val="000000"/>
          <w:lang w:val="sr-Latn-RS"/>
        </w:rPr>
        <w:t>r</w:t>
      </w:r>
      <w:r w:rsidR="00EA46BD" w:rsidRPr="00351173">
        <w:rPr>
          <w:color w:val="000000"/>
          <w:lang w:val="sr-Latn-RS"/>
        </w:rPr>
        <w:t xml:space="preserve">olom cena energenata i osnovnih </w:t>
      </w:r>
      <w:r w:rsidR="00351173" w:rsidRPr="00351173">
        <w:rPr>
          <w:color w:val="000000"/>
          <w:lang w:val="sr-Latn-RS"/>
        </w:rPr>
        <w:t>prehrambenih</w:t>
      </w:r>
      <w:r w:rsidR="00EA46BD" w:rsidRPr="00351173">
        <w:rPr>
          <w:color w:val="000000"/>
          <w:lang w:val="sr-Latn-RS"/>
        </w:rPr>
        <w:t xml:space="preserve"> proizvoda, dok je fiskalna politika i dalje bila ekspanzivna. </w:t>
      </w:r>
      <w:r w:rsidR="00351173" w:rsidRPr="00351173">
        <w:rPr>
          <w:color w:val="000000"/>
          <w:lang w:val="sr-Latn-RS"/>
        </w:rPr>
        <w:t>Administrativna</w:t>
      </w:r>
      <w:r w:rsidR="00EA46BD" w:rsidRPr="00351173">
        <w:rPr>
          <w:color w:val="000000"/>
          <w:lang w:val="sr-Latn-RS"/>
        </w:rPr>
        <w:t xml:space="preserve"> kontrola cena je smanjila inflaciju u proteklom delu godine, ali su njene posledice rast dugova javnih preduzeća i države, kao i </w:t>
      </w:r>
      <w:r w:rsidR="00351173" w:rsidRPr="00351173">
        <w:rPr>
          <w:color w:val="000000"/>
          <w:lang w:val="sr-Latn-RS"/>
        </w:rPr>
        <w:t>nestašica</w:t>
      </w:r>
      <w:r w:rsidR="00EA46BD" w:rsidRPr="00351173">
        <w:rPr>
          <w:color w:val="000000"/>
          <w:lang w:val="sr-Latn-RS"/>
        </w:rPr>
        <w:t xml:space="preserve"> šećera</w:t>
      </w:r>
      <w:r w:rsidR="00541444" w:rsidRPr="00351173">
        <w:rPr>
          <w:color w:val="000000"/>
          <w:lang w:val="sr-Latn-RS"/>
        </w:rPr>
        <w:t xml:space="preserve"> i povećanje cena u budućnosti</w:t>
      </w:r>
      <w:r w:rsidR="00EA46BD" w:rsidRPr="00351173">
        <w:rPr>
          <w:color w:val="000000"/>
          <w:lang w:val="sr-Latn-RS"/>
        </w:rPr>
        <w:t xml:space="preserve">.  </w:t>
      </w:r>
    </w:p>
    <w:p w14:paraId="0FD5F867" w14:textId="77777777" w:rsidR="00294802" w:rsidRPr="00351173" w:rsidRDefault="00294802" w:rsidP="00E2375A">
      <w:pPr>
        <w:jc w:val="both"/>
        <w:rPr>
          <w:color w:val="000000"/>
          <w:lang w:val="sr-Latn-RS"/>
        </w:rPr>
      </w:pPr>
    </w:p>
    <w:p w14:paraId="1EA74C5B" w14:textId="77777777" w:rsidR="00D13EDE" w:rsidRPr="00351173" w:rsidRDefault="00541444" w:rsidP="00A17397">
      <w:pPr>
        <w:jc w:val="both"/>
        <w:rPr>
          <w:color w:val="000000"/>
          <w:lang w:val="sr-Latn-RS"/>
        </w:rPr>
      </w:pPr>
      <w:r w:rsidRPr="00351173">
        <w:rPr>
          <w:color w:val="000000"/>
          <w:lang w:val="sr-Latn-RS"/>
        </w:rPr>
        <w:t>P</w:t>
      </w:r>
      <w:r w:rsidR="00294802" w:rsidRPr="00351173">
        <w:rPr>
          <w:color w:val="000000"/>
          <w:lang w:val="sr-Latn-RS"/>
        </w:rPr>
        <w:t>ogoršani su robni, spoljnotrgovinski i tekući deficit, kao i odnosi razmene, smanjene su strane direktne investicije i devizne rezerve, a povećano je zaduživanje.</w:t>
      </w:r>
      <w:r w:rsidR="00A17397" w:rsidRPr="00351173">
        <w:rPr>
          <w:color w:val="000000"/>
          <w:lang w:val="sr-Latn-RS"/>
        </w:rPr>
        <w:t xml:space="preserve"> Tekući deficit je u Q1 snažno povećan i dostigao je 1,3 mlrd evra (10,2% BDP-a) što predstavlja naj</w:t>
      </w:r>
      <w:r w:rsidRPr="00351173">
        <w:rPr>
          <w:color w:val="000000"/>
          <w:lang w:val="sr-Latn-RS"/>
        </w:rPr>
        <w:t>veći deficit</w:t>
      </w:r>
      <w:r w:rsidR="00A17397" w:rsidRPr="00351173">
        <w:rPr>
          <w:color w:val="000000"/>
          <w:lang w:val="sr-Latn-RS"/>
        </w:rPr>
        <w:t xml:space="preserve"> u jednom kvartalu u prethodnih deset godina. </w:t>
      </w:r>
      <w:r w:rsidR="00DC78EA" w:rsidRPr="00351173">
        <w:rPr>
          <w:color w:val="000000"/>
          <w:lang w:val="sr-Latn-RS"/>
        </w:rPr>
        <w:t>Na povećanje tekućeg deficita najviše je uticao rast r</w:t>
      </w:r>
      <w:r w:rsidR="003B7FA9" w:rsidRPr="00351173">
        <w:rPr>
          <w:color w:val="000000"/>
          <w:lang w:val="sr-Latn-RS"/>
        </w:rPr>
        <w:t>obn</w:t>
      </w:r>
      <w:r w:rsidR="00DC78EA" w:rsidRPr="00351173">
        <w:rPr>
          <w:color w:val="000000"/>
          <w:lang w:val="sr-Latn-RS"/>
        </w:rPr>
        <w:t>og</w:t>
      </w:r>
      <w:r w:rsidR="003B7FA9" w:rsidRPr="00351173">
        <w:rPr>
          <w:color w:val="000000"/>
          <w:lang w:val="sr-Latn-RS"/>
        </w:rPr>
        <w:t xml:space="preserve"> deficit</w:t>
      </w:r>
      <w:r w:rsidR="00DC78EA" w:rsidRPr="00351173">
        <w:rPr>
          <w:color w:val="000000"/>
          <w:lang w:val="sr-Latn-RS"/>
        </w:rPr>
        <w:t xml:space="preserve">a koji </w:t>
      </w:r>
      <w:r w:rsidR="003B7FA9" w:rsidRPr="00351173">
        <w:rPr>
          <w:color w:val="000000"/>
          <w:lang w:val="sr-Latn-RS"/>
        </w:rPr>
        <w:t xml:space="preserve"> je u prva četiri meseca povećan za 1,8 milijardi evra</w:t>
      </w:r>
      <w:r w:rsidR="00DC78EA" w:rsidRPr="00351173">
        <w:rPr>
          <w:color w:val="000000"/>
          <w:lang w:val="sr-Latn-RS"/>
        </w:rPr>
        <w:t>. Povećanju robnog deficita najviše je doprineo deficit u trgovi</w:t>
      </w:r>
      <w:r w:rsidR="00351173">
        <w:rPr>
          <w:color w:val="000000"/>
          <w:lang w:val="sr-Latn-RS"/>
        </w:rPr>
        <w:t xml:space="preserve">ni energentima koji je povećan </w:t>
      </w:r>
      <w:r w:rsidR="00DC78EA" w:rsidRPr="00351173">
        <w:rPr>
          <w:color w:val="000000"/>
          <w:lang w:val="sr-Latn-RS"/>
        </w:rPr>
        <w:t>z</w:t>
      </w:r>
      <w:r w:rsidR="003B7FA9" w:rsidRPr="00351173">
        <w:rPr>
          <w:color w:val="000000"/>
          <w:lang w:val="sr-Latn-RS"/>
        </w:rPr>
        <w:t>a 1,3 milijarde</w:t>
      </w:r>
      <w:r w:rsidR="00DC78EA" w:rsidRPr="00351173">
        <w:rPr>
          <w:color w:val="000000"/>
          <w:lang w:val="sr-Latn-RS"/>
        </w:rPr>
        <w:t xml:space="preserve">, kako zbog rasta cena </w:t>
      </w:r>
      <w:r w:rsidR="00351173" w:rsidRPr="00351173">
        <w:rPr>
          <w:color w:val="000000"/>
          <w:lang w:val="sr-Latn-RS"/>
        </w:rPr>
        <w:t>energenata</w:t>
      </w:r>
      <w:r w:rsidR="00DC78EA" w:rsidRPr="00351173">
        <w:rPr>
          <w:color w:val="000000"/>
          <w:lang w:val="sr-Latn-RS"/>
        </w:rPr>
        <w:t xml:space="preserve"> tako zbog </w:t>
      </w:r>
      <w:r w:rsidR="00A17397" w:rsidRPr="00351173">
        <w:rPr>
          <w:color w:val="000000"/>
          <w:lang w:val="sr-Latn-RS"/>
        </w:rPr>
        <w:t>povećanog uvoza struje i gasa.</w:t>
      </w:r>
      <w:r w:rsidR="003B7FA9" w:rsidRPr="00351173">
        <w:rPr>
          <w:color w:val="000000"/>
          <w:lang w:val="sr-Latn-RS"/>
        </w:rPr>
        <w:t xml:space="preserve"> </w:t>
      </w:r>
      <w:r w:rsidR="00A17397" w:rsidRPr="00351173">
        <w:rPr>
          <w:color w:val="000000"/>
          <w:lang w:val="sr-Latn-RS"/>
        </w:rPr>
        <w:t>Odre</w:t>
      </w:r>
      <w:r w:rsidR="00351173">
        <w:rPr>
          <w:color w:val="000000"/>
          <w:lang w:val="sr-Latn-RS"/>
        </w:rPr>
        <w:t>đ</w:t>
      </w:r>
      <w:r w:rsidR="00A17397" w:rsidRPr="00351173">
        <w:rPr>
          <w:color w:val="000000"/>
          <w:lang w:val="sr-Latn-RS"/>
        </w:rPr>
        <w:t>eni uticaj na rast robnog deficita imalo je i n</w:t>
      </w:r>
      <w:r w:rsidR="003B7FA9" w:rsidRPr="00351173">
        <w:rPr>
          <w:color w:val="000000"/>
          <w:lang w:val="sr-Latn-RS"/>
        </w:rPr>
        <w:t>eodmereno ograničavanje izvoza poljoprivrednih proizvoda</w:t>
      </w:r>
      <w:r w:rsidR="00A17397" w:rsidRPr="00351173">
        <w:rPr>
          <w:color w:val="000000"/>
          <w:lang w:val="sr-Latn-RS"/>
        </w:rPr>
        <w:t>.</w:t>
      </w:r>
    </w:p>
    <w:p w14:paraId="1328F6BC" w14:textId="77777777" w:rsidR="000D174F" w:rsidRPr="00351173" w:rsidRDefault="000D174F" w:rsidP="00E2375A">
      <w:pPr>
        <w:jc w:val="both"/>
        <w:rPr>
          <w:color w:val="000000"/>
          <w:lang w:val="sr-Latn-RS"/>
        </w:rPr>
      </w:pPr>
    </w:p>
    <w:p w14:paraId="258E3C33" w14:textId="77777777" w:rsidR="000D174F" w:rsidRPr="00351173" w:rsidRDefault="000D174F" w:rsidP="00E2375A">
      <w:pPr>
        <w:jc w:val="both"/>
        <w:rPr>
          <w:color w:val="000000"/>
          <w:lang w:val="sr-Latn-RS"/>
        </w:rPr>
      </w:pPr>
      <w:r w:rsidRPr="00351173">
        <w:rPr>
          <w:rFonts w:eastAsiaTheme="minorEastAsia"/>
          <w:lang w:val="sr-Latn-RS" w:eastAsia="en-GB"/>
        </w:rPr>
        <w:t xml:space="preserve">U prvom kvartalu tržište rada pokazuje poboljšanja u odnosu na prvi kvartal prethodne godine, ali stagnira u odnosu na poslednji kvartal prethodne. Zaposlenost i realne zarade  u prvom kvartalu </w:t>
      </w:r>
      <w:r w:rsidR="004609FE" w:rsidRPr="00351173">
        <w:rPr>
          <w:rFonts w:eastAsiaTheme="minorEastAsia"/>
          <w:lang w:val="sr-Latn-RS" w:eastAsia="en-GB"/>
        </w:rPr>
        <w:t xml:space="preserve">su </w:t>
      </w:r>
      <w:r w:rsidRPr="00351173">
        <w:rPr>
          <w:rFonts w:eastAsiaTheme="minorEastAsia"/>
          <w:lang w:val="sr-Latn-RS" w:eastAsia="en-GB"/>
        </w:rPr>
        <w:t>veći nego pre godinu dana, ali stagniraju u odnosu na kraj prethodne godine.</w:t>
      </w:r>
      <w:r w:rsidR="004609FE" w:rsidRPr="00351173">
        <w:rPr>
          <w:rFonts w:eastAsiaTheme="minorEastAsia"/>
          <w:lang w:val="sr-Latn-RS" w:eastAsia="en-GB"/>
        </w:rPr>
        <w:t xml:space="preserve"> Pozitivno je što u odnosu na prvi kvartal prethodne godine zaposlenost i zarade brže rastu u privatnom nego u javnom sektoru. </w:t>
      </w:r>
      <w:r w:rsidR="00557575" w:rsidRPr="00351173">
        <w:rPr>
          <w:color w:val="000000"/>
          <w:lang w:val="sr-Latn-RS"/>
        </w:rPr>
        <w:t xml:space="preserve"> </w:t>
      </w:r>
    </w:p>
    <w:p w14:paraId="5CA84951" w14:textId="77777777" w:rsidR="000D174F" w:rsidRPr="00351173" w:rsidRDefault="000D174F" w:rsidP="00E2375A">
      <w:pPr>
        <w:jc w:val="both"/>
        <w:rPr>
          <w:color w:val="000000"/>
          <w:lang w:val="sr-Latn-RS"/>
        </w:rPr>
      </w:pPr>
    </w:p>
    <w:p w14:paraId="3F118BA2" w14:textId="77777777" w:rsidR="000576B7" w:rsidRPr="00351173" w:rsidRDefault="000D174F" w:rsidP="00E2375A">
      <w:pPr>
        <w:jc w:val="both"/>
        <w:rPr>
          <w:color w:val="000000"/>
          <w:lang w:val="sr-Latn-RS"/>
        </w:rPr>
      </w:pPr>
      <w:r w:rsidRPr="00351173">
        <w:rPr>
          <w:rFonts w:eastAsiaTheme="minorEastAsia"/>
          <w:lang w:val="sr-Latn-RS" w:eastAsia="en-GB"/>
        </w:rPr>
        <w:t>Fiskalna politika  u prethodnom delu g</w:t>
      </w:r>
      <w:r w:rsidR="00474ABE" w:rsidRPr="00351173">
        <w:rPr>
          <w:rFonts w:eastAsiaTheme="minorEastAsia"/>
          <w:lang w:val="sr-Latn-RS" w:eastAsia="en-GB"/>
        </w:rPr>
        <w:t>o</w:t>
      </w:r>
      <w:r w:rsidRPr="00351173">
        <w:rPr>
          <w:rFonts w:eastAsiaTheme="minorEastAsia"/>
          <w:lang w:val="sr-Latn-RS" w:eastAsia="en-GB"/>
        </w:rPr>
        <w:t xml:space="preserve">dine je bila </w:t>
      </w:r>
      <w:r w:rsidR="00351173" w:rsidRPr="00351173">
        <w:rPr>
          <w:rFonts w:eastAsiaTheme="minorEastAsia"/>
          <w:lang w:val="sr-Latn-RS" w:eastAsia="en-GB"/>
        </w:rPr>
        <w:t>ekspanzivna</w:t>
      </w:r>
      <w:r w:rsidRPr="00351173">
        <w:rPr>
          <w:rFonts w:eastAsiaTheme="minorEastAsia"/>
          <w:lang w:val="sr-Latn-RS" w:eastAsia="en-GB"/>
        </w:rPr>
        <w:t xml:space="preserve">, ali </w:t>
      </w:r>
      <w:r w:rsidR="002E1A54" w:rsidRPr="00351173">
        <w:rPr>
          <w:rFonts w:eastAsiaTheme="minorEastAsia"/>
          <w:lang w:val="sr-Latn-RS" w:eastAsia="en-GB"/>
        </w:rPr>
        <w:t>je povećanje rashoda bilo jednokratno, tako da nije znatnije povećan strukturni deficit.</w:t>
      </w:r>
      <w:r w:rsidR="00557575" w:rsidRPr="00351173">
        <w:rPr>
          <w:color w:val="000000"/>
          <w:lang w:val="sr-Latn-RS"/>
        </w:rPr>
        <w:t xml:space="preserve"> </w:t>
      </w:r>
      <w:r w:rsidR="003515FC" w:rsidRPr="00351173">
        <w:rPr>
          <w:lang w:val="sr-Latn-RS"/>
        </w:rPr>
        <w:t xml:space="preserve">Deficit konsolidovane države u Q1 iznosio je oko 68 mlrd. dinara (4,4% kvartalnog BDP-a), što je </w:t>
      </w:r>
      <w:r w:rsidR="00351173" w:rsidRPr="00351173">
        <w:rPr>
          <w:lang w:val="sr-Latn-RS"/>
        </w:rPr>
        <w:t>neuobičajeno</w:t>
      </w:r>
      <w:r w:rsidR="00351173">
        <w:rPr>
          <w:lang w:val="sr-Latn-RS"/>
        </w:rPr>
        <w:t xml:space="preserve"> </w:t>
      </w:r>
      <w:r w:rsidR="003515FC" w:rsidRPr="00351173">
        <w:rPr>
          <w:lang w:val="sr-Latn-RS"/>
        </w:rPr>
        <w:t>visok deficit za prvi kvartal</w:t>
      </w:r>
      <w:r w:rsidR="00BF21E1" w:rsidRPr="00351173">
        <w:rPr>
          <w:lang w:val="sr-Latn-RS"/>
        </w:rPr>
        <w:t xml:space="preserve">, </w:t>
      </w:r>
      <w:r w:rsidR="00474ABE" w:rsidRPr="00351173">
        <w:rPr>
          <w:lang w:val="sr-Latn-RS"/>
        </w:rPr>
        <w:t xml:space="preserve">što </w:t>
      </w:r>
      <w:r w:rsidR="00BF21E1" w:rsidRPr="00351173">
        <w:rPr>
          <w:lang w:val="sr-Latn-RS"/>
        </w:rPr>
        <w:t>se može objasniti predizbornim trošenjem</w:t>
      </w:r>
      <w:r w:rsidR="003515FC" w:rsidRPr="00351173">
        <w:rPr>
          <w:lang w:val="sr-Latn-RS"/>
        </w:rPr>
        <w:t>. Povećani deficit iz Q1 2022. može se većim delom pripisati vanrednim izdacima po osnovu isplate pomoći pojedinim grupama građana (penzionerima, mladima) kao i visokim izdacima na subvencije i budžetske pozajmice. U narednom period</w:t>
      </w:r>
      <w:r w:rsidR="00BF21E1" w:rsidRPr="00351173">
        <w:rPr>
          <w:lang w:val="sr-Latn-RS"/>
        </w:rPr>
        <w:t>u</w:t>
      </w:r>
      <w:r w:rsidR="003515FC" w:rsidRPr="00351173">
        <w:rPr>
          <w:lang w:val="sr-Latn-RS"/>
        </w:rPr>
        <w:t xml:space="preserve"> smanjenje fiskalnog deficita predstavlja važnu polugu za obuzdavanje inflacije. Smanjenje fiskalnog deficita neće biti lako s obzirom na potencijaln</w:t>
      </w:r>
      <w:r w:rsidR="00474ABE" w:rsidRPr="00351173">
        <w:rPr>
          <w:lang w:val="sr-Latn-RS"/>
        </w:rPr>
        <w:t>e</w:t>
      </w:r>
      <w:r w:rsidR="003515FC" w:rsidRPr="00351173">
        <w:rPr>
          <w:lang w:val="sr-Latn-RS"/>
        </w:rPr>
        <w:t xml:space="preserve"> rashod</w:t>
      </w:r>
      <w:r w:rsidR="00474ABE" w:rsidRPr="00351173">
        <w:rPr>
          <w:lang w:val="sr-Latn-RS"/>
        </w:rPr>
        <w:t>e</w:t>
      </w:r>
      <w:r w:rsidR="003515FC" w:rsidRPr="00351173">
        <w:rPr>
          <w:lang w:val="sr-Latn-RS"/>
        </w:rPr>
        <w:t xml:space="preserve"> za saniranje problema u energetici, rast kamatnih stopa</w:t>
      </w:r>
      <w:r w:rsidR="00474ABE" w:rsidRPr="00351173">
        <w:rPr>
          <w:lang w:val="sr-Latn-RS"/>
        </w:rPr>
        <w:t xml:space="preserve"> i</w:t>
      </w:r>
      <w:r w:rsidR="003515FC" w:rsidRPr="00351173">
        <w:rPr>
          <w:lang w:val="sr-Latn-RS"/>
        </w:rPr>
        <w:t xml:space="preserve"> sporiji privredni rast.  </w:t>
      </w:r>
    </w:p>
    <w:p w14:paraId="1F268C36" w14:textId="77777777" w:rsidR="009F5DC3" w:rsidRPr="00351173" w:rsidRDefault="009F5DC3" w:rsidP="002017BB">
      <w:pPr>
        <w:rPr>
          <w:lang w:val="sr-Latn-RS"/>
        </w:rPr>
      </w:pPr>
    </w:p>
    <w:p w14:paraId="24DDBC99" w14:textId="77777777" w:rsidR="000A328F" w:rsidRPr="00351173" w:rsidRDefault="000A328F" w:rsidP="000A358B">
      <w:pPr>
        <w:jc w:val="both"/>
        <w:rPr>
          <w:i/>
          <w:lang w:val="sr-Latn-RS"/>
        </w:rPr>
      </w:pPr>
      <w:r w:rsidRPr="00351173">
        <w:rPr>
          <w:i/>
          <w:lang w:val="sr-Latn-RS"/>
        </w:rPr>
        <w:t>„Kvartalni monitor“ je publikacija u izdanju Ekonomskog fakulteta u Beogradu i FREN-a.</w:t>
      </w:r>
      <w:r w:rsidR="000A358B" w:rsidRPr="00351173">
        <w:rPr>
          <w:i/>
          <w:lang w:val="sr-Latn-RS"/>
        </w:rPr>
        <w:t xml:space="preserve"> </w:t>
      </w:r>
    </w:p>
    <w:p w14:paraId="69991046" w14:textId="77777777" w:rsidR="00CB1431" w:rsidRPr="00351173" w:rsidRDefault="00CB1431" w:rsidP="00CB1431">
      <w:pPr>
        <w:jc w:val="both"/>
        <w:rPr>
          <w:color w:val="000000"/>
          <w:lang w:val="sr-Latn-RS"/>
        </w:rPr>
      </w:pPr>
    </w:p>
    <w:p w14:paraId="30122D57" w14:textId="77777777" w:rsidR="00CB1431" w:rsidRPr="00351173" w:rsidRDefault="00CB1431" w:rsidP="000A358B">
      <w:pPr>
        <w:jc w:val="both"/>
        <w:rPr>
          <w:lang w:val="sr-Latn-RS"/>
        </w:rPr>
      </w:pPr>
    </w:p>
    <w:p w14:paraId="44622943" w14:textId="77777777" w:rsidR="00EE2092" w:rsidRPr="00351173" w:rsidRDefault="00EE2092" w:rsidP="000A358B">
      <w:pPr>
        <w:jc w:val="both"/>
        <w:rPr>
          <w:lang w:val="sr-Latn-RS"/>
        </w:rPr>
      </w:pPr>
    </w:p>
    <w:p w14:paraId="04D5D432" w14:textId="77777777" w:rsidR="00EE2092" w:rsidRPr="00351173" w:rsidRDefault="00EE2092" w:rsidP="000A358B">
      <w:pPr>
        <w:jc w:val="both"/>
        <w:rPr>
          <w:lang w:val="sr-Latn-RS"/>
        </w:rPr>
      </w:pPr>
    </w:p>
    <w:p w14:paraId="1A3A4860" w14:textId="77777777" w:rsidR="00EE2092" w:rsidRPr="00351173" w:rsidRDefault="00EE2092" w:rsidP="000A358B">
      <w:pPr>
        <w:jc w:val="both"/>
        <w:rPr>
          <w:lang w:val="sr-Latn-RS"/>
        </w:rPr>
      </w:pPr>
    </w:p>
    <w:p w14:paraId="48F745EB" w14:textId="77777777" w:rsidR="00EE2092" w:rsidRPr="00351173" w:rsidRDefault="00EE2092" w:rsidP="000A358B">
      <w:pPr>
        <w:jc w:val="both"/>
        <w:rPr>
          <w:lang w:val="sr-Latn-RS"/>
        </w:rPr>
      </w:pPr>
    </w:p>
    <w:p w14:paraId="5142274E" w14:textId="77777777" w:rsidR="00EE2092" w:rsidRPr="00351173" w:rsidRDefault="00EE2092" w:rsidP="000A358B">
      <w:pPr>
        <w:jc w:val="both"/>
        <w:rPr>
          <w:lang w:val="sr-Latn-RS"/>
        </w:rPr>
      </w:pPr>
    </w:p>
    <w:p w14:paraId="71EABA7E" w14:textId="77777777" w:rsidR="00EE2092" w:rsidRPr="00351173" w:rsidRDefault="00EE2092" w:rsidP="000A358B">
      <w:pPr>
        <w:jc w:val="both"/>
        <w:rPr>
          <w:lang w:val="sr-Latn-RS"/>
        </w:rPr>
      </w:pPr>
    </w:p>
    <w:p w14:paraId="550167D6" w14:textId="77777777" w:rsidR="00EE2092" w:rsidRPr="00351173" w:rsidRDefault="00EE2092" w:rsidP="000A358B">
      <w:pPr>
        <w:jc w:val="both"/>
        <w:rPr>
          <w:lang w:val="sr-Latn-RS"/>
        </w:rPr>
      </w:pPr>
    </w:p>
    <w:p w14:paraId="31F96485" w14:textId="77777777" w:rsidR="00EE2092" w:rsidRPr="00351173" w:rsidRDefault="00EE2092" w:rsidP="000A358B">
      <w:pPr>
        <w:jc w:val="both"/>
        <w:rPr>
          <w:lang w:val="sr-Latn-RS"/>
        </w:rPr>
      </w:pPr>
    </w:p>
    <w:p w14:paraId="47920BBF" w14:textId="77777777" w:rsidR="00EE2092" w:rsidRPr="00351173" w:rsidRDefault="00EE2092" w:rsidP="000A358B">
      <w:pPr>
        <w:jc w:val="both"/>
        <w:rPr>
          <w:lang w:val="sr-Latn-RS"/>
        </w:rPr>
      </w:pPr>
    </w:p>
    <w:p w14:paraId="48D97886" w14:textId="77777777" w:rsidR="00EE2092" w:rsidRPr="00351173" w:rsidRDefault="00EE2092" w:rsidP="000A358B">
      <w:pPr>
        <w:jc w:val="both"/>
        <w:rPr>
          <w:lang w:val="sr-Latn-RS"/>
        </w:rPr>
      </w:pPr>
    </w:p>
    <w:p w14:paraId="59F19A39" w14:textId="77777777" w:rsidR="00EE2092" w:rsidRPr="00351173" w:rsidRDefault="00EE2092" w:rsidP="000A358B">
      <w:pPr>
        <w:jc w:val="both"/>
        <w:rPr>
          <w:lang w:val="sr-Latn-RS"/>
        </w:rPr>
      </w:pPr>
    </w:p>
    <w:sectPr w:rsidR="00EE2092" w:rsidRPr="00351173" w:rsidSect="00886B3E">
      <w:pgSz w:w="11906" w:h="16838" w:code="9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5C14"/>
    <w:multiLevelType w:val="hybridMultilevel"/>
    <w:tmpl w:val="878A2CF6"/>
    <w:lvl w:ilvl="0" w:tplc="5B7C2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0465C">
      <w:start w:val="9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81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24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4C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A1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21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0E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86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A76701"/>
    <w:multiLevelType w:val="hybridMultilevel"/>
    <w:tmpl w:val="A0823AD0"/>
    <w:lvl w:ilvl="0" w:tplc="B57865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8F260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61AA0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DB005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FE48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EB6A1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2A02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D419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9A05F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DE53BBD"/>
    <w:multiLevelType w:val="hybridMultilevel"/>
    <w:tmpl w:val="00EEE5F4"/>
    <w:lvl w:ilvl="0" w:tplc="843C7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E3EAA">
      <w:start w:val="12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AD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44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08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C1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66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A3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A4E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9A600D"/>
    <w:multiLevelType w:val="hybridMultilevel"/>
    <w:tmpl w:val="4D16D584"/>
    <w:lvl w:ilvl="0" w:tplc="B0A8C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0C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EB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E3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80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2B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A5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A1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4F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ED46008"/>
    <w:multiLevelType w:val="hybridMultilevel"/>
    <w:tmpl w:val="A30EBD48"/>
    <w:lvl w:ilvl="0" w:tplc="2C7286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176DE88">
      <w:start w:val="78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FE024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F6F8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A6E3B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FA2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6013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13AE3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C3AC1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1949000420">
    <w:abstractNumId w:val="0"/>
  </w:num>
  <w:num w:numId="2" w16cid:durableId="2050109946">
    <w:abstractNumId w:val="2"/>
  </w:num>
  <w:num w:numId="3" w16cid:durableId="1029529984">
    <w:abstractNumId w:val="3"/>
  </w:num>
  <w:num w:numId="4" w16cid:durableId="2007397936">
    <w:abstractNumId w:val="1"/>
  </w:num>
  <w:num w:numId="5" w16cid:durableId="1062680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28F"/>
    <w:rsid w:val="00002155"/>
    <w:rsid w:val="00031870"/>
    <w:rsid w:val="000333BA"/>
    <w:rsid w:val="000576B7"/>
    <w:rsid w:val="00084886"/>
    <w:rsid w:val="000912A0"/>
    <w:rsid w:val="000A0001"/>
    <w:rsid w:val="000A328F"/>
    <w:rsid w:val="000A358B"/>
    <w:rsid w:val="000A397E"/>
    <w:rsid w:val="000C1F2D"/>
    <w:rsid w:val="000C2D63"/>
    <w:rsid w:val="000D0D2D"/>
    <w:rsid w:val="000D174F"/>
    <w:rsid w:val="000D3CAA"/>
    <w:rsid w:val="00143F9E"/>
    <w:rsid w:val="001860A4"/>
    <w:rsid w:val="001979CB"/>
    <w:rsid w:val="001A70A9"/>
    <w:rsid w:val="001C1ACB"/>
    <w:rsid w:val="001C2129"/>
    <w:rsid w:val="001C235E"/>
    <w:rsid w:val="001C5884"/>
    <w:rsid w:val="001D272B"/>
    <w:rsid w:val="001D289B"/>
    <w:rsid w:val="001D2AB2"/>
    <w:rsid w:val="001D4C19"/>
    <w:rsid w:val="001E0F05"/>
    <w:rsid w:val="001E7031"/>
    <w:rsid w:val="001F168D"/>
    <w:rsid w:val="001F54B1"/>
    <w:rsid w:val="00201582"/>
    <w:rsid w:val="002017BB"/>
    <w:rsid w:val="00234EB4"/>
    <w:rsid w:val="00244E91"/>
    <w:rsid w:val="00254B88"/>
    <w:rsid w:val="002638D5"/>
    <w:rsid w:val="0026696F"/>
    <w:rsid w:val="002716CB"/>
    <w:rsid w:val="00294802"/>
    <w:rsid w:val="002A3619"/>
    <w:rsid w:val="002C10E5"/>
    <w:rsid w:val="002C5B58"/>
    <w:rsid w:val="002C68AA"/>
    <w:rsid w:val="002E1A54"/>
    <w:rsid w:val="002E37B4"/>
    <w:rsid w:val="0031053E"/>
    <w:rsid w:val="00317EFC"/>
    <w:rsid w:val="00343F46"/>
    <w:rsid w:val="00351173"/>
    <w:rsid w:val="003515FC"/>
    <w:rsid w:val="00355CC2"/>
    <w:rsid w:val="00363D30"/>
    <w:rsid w:val="003B2C5E"/>
    <w:rsid w:val="003B5BAD"/>
    <w:rsid w:val="003B7FA9"/>
    <w:rsid w:val="003C507A"/>
    <w:rsid w:val="003C6B17"/>
    <w:rsid w:val="003F04EA"/>
    <w:rsid w:val="003F7B1A"/>
    <w:rsid w:val="004158DE"/>
    <w:rsid w:val="004176AD"/>
    <w:rsid w:val="004179C8"/>
    <w:rsid w:val="004448DB"/>
    <w:rsid w:val="00444DFF"/>
    <w:rsid w:val="004563E1"/>
    <w:rsid w:val="00457BB8"/>
    <w:rsid w:val="004609FE"/>
    <w:rsid w:val="00474ABE"/>
    <w:rsid w:val="00482B99"/>
    <w:rsid w:val="00483235"/>
    <w:rsid w:val="004B669C"/>
    <w:rsid w:val="004B7E18"/>
    <w:rsid w:val="004C6DF0"/>
    <w:rsid w:val="004F46B2"/>
    <w:rsid w:val="00514B74"/>
    <w:rsid w:val="00524B0A"/>
    <w:rsid w:val="00534910"/>
    <w:rsid w:val="00541444"/>
    <w:rsid w:val="00557575"/>
    <w:rsid w:val="00561F2F"/>
    <w:rsid w:val="00582F3D"/>
    <w:rsid w:val="005845C8"/>
    <w:rsid w:val="005912AD"/>
    <w:rsid w:val="00593270"/>
    <w:rsid w:val="00595FC6"/>
    <w:rsid w:val="0059798C"/>
    <w:rsid w:val="005B0CE7"/>
    <w:rsid w:val="005C3804"/>
    <w:rsid w:val="005E273C"/>
    <w:rsid w:val="00614EFE"/>
    <w:rsid w:val="006435B7"/>
    <w:rsid w:val="00644905"/>
    <w:rsid w:val="006453F9"/>
    <w:rsid w:val="00670101"/>
    <w:rsid w:val="00674B22"/>
    <w:rsid w:val="00677717"/>
    <w:rsid w:val="006A0FC6"/>
    <w:rsid w:val="006A27A7"/>
    <w:rsid w:val="006A498C"/>
    <w:rsid w:val="006B2678"/>
    <w:rsid w:val="006C6DB2"/>
    <w:rsid w:val="006D2095"/>
    <w:rsid w:val="006D66CE"/>
    <w:rsid w:val="0070734D"/>
    <w:rsid w:val="00715FE0"/>
    <w:rsid w:val="00733C98"/>
    <w:rsid w:val="00740FB7"/>
    <w:rsid w:val="0074715D"/>
    <w:rsid w:val="0075072F"/>
    <w:rsid w:val="0078462D"/>
    <w:rsid w:val="007A2D7F"/>
    <w:rsid w:val="007D3D08"/>
    <w:rsid w:val="007E6340"/>
    <w:rsid w:val="00803916"/>
    <w:rsid w:val="00805BE4"/>
    <w:rsid w:val="00817EDE"/>
    <w:rsid w:val="00830BCD"/>
    <w:rsid w:val="00833158"/>
    <w:rsid w:val="008548C6"/>
    <w:rsid w:val="00880092"/>
    <w:rsid w:val="00886B3E"/>
    <w:rsid w:val="00886DD8"/>
    <w:rsid w:val="008D2959"/>
    <w:rsid w:val="00902ABF"/>
    <w:rsid w:val="0090300E"/>
    <w:rsid w:val="00910BD3"/>
    <w:rsid w:val="00913EFC"/>
    <w:rsid w:val="009260A4"/>
    <w:rsid w:val="00926498"/>
    <w:rsid w:val="00936614"/>
    <w:rsid w:val="00942457"/>
    <w:rsid w:val="00946743"/>
    <w:rsid w:val="00957824"/>
    <w:rsid w:val="00960218"/>
    <w:rsid w:val="0096463A"/>
    <w:rsid w:val="00971D25"/>
    <w:rsid w:val="00974B55"/>
    <w:rsid w:val="0098046B"/>
    <w:rsid w:val="00986C43"/>
    <w:rsid w:val="00987AD8"/>
    <w:rsid w:val="00995D26"/>
    <w:rsid w:val="009A6346"/>
    <w:rsid w:val="009B5B89"/>
    <w:rsid w:val="009B7AB1"/>
    <w:rsid w:val="009E4080"/>
    <w:rsid w:val="009E4995"/>
    <w:rsid w:val="009F5DC3"/>
    <w:rsid w:val="00A00DB8"/>
    <w:rsid w:val="00A07146"/>
    <w:rsid w:val="00A12E51"/>
    <w:rsid w:val="00A17397"/>
    <w:rsid w:val="00A17554"/>
    <w:rsid w:val="00A256E1"/>
    <w:rsid w:val="00A500C7"/>
    <w:rsid w:val="00A537C6"/>
    <w:rsid w:val="00A60A29"/>
    <w:rsid w:val="00A74553"/>
    <w:rsid w:val="00A83456"/>
    <w:rsid w:val="00A8622F"/>
    <w:rsid w:val="00AB0717"/>
    <w:rsid w:val="00AC6E17"/>
    <w:rsid w:val="00AF2010"/>
    <w:rsid w:val="00B02C65"/>
    <w:rsid w:val="00B072E2"/>
    <w:rsid w:val="00B67D9F"/>
    <w:rsid w:val="00B70A79"/>
    <w:rsid w:val="00B72D8D"/>
    <w:rsid w:val="00B91FF2"/>
    <w:rsid w:val="00B953D0"/>
    <w:rsid w:val="00BB3727"/>
    <w:rsid w:val="00BD1D88"/>
    <w:rsid w:val="00BF21E1"/>
    <w:rsid w:val="00C30041"/>
    <w:rsid w:val="00C4033B"/>
    <w:rsid w:val="00C42884"/>
    <w:rsid w:val="00C44D10"/>
    <w:rsid w:val="00C502CD"/>
    <w:rsid w:val="00C50324"/>
    <w:rsid w:val="00C50FB5"/>
    <w:rsid w:val="00C52146"/>
    <w:rsid w:val="00C567D3"/>
    <w:rsid w:val="00C65189"/>
    <w:rsid w:val="00C7609D"/>
    <w:rsid w:val="00C829B1"/>
    <w:rsid w:val="00CB1431"/>
    <w:rsid w:val="00CB56EB"/>
    <w:rsid w:val="00CD4284"/>
    <w:rsid w:val="00CE2B39"/>
    <w:rsid w:val="00D03C57"/>
    <w:rsid w:val="00D13EDE"/>
    <w:rsid w:val="00D34E7D"/>
    <w:rsid w:val="00D45CA9"/>
    <w:rsid w:val="00D56555"/>
    <w:rsid w:val="00D5721E"/>
    <w:rsid w:val="00D657B5"/>
    <w:rsid w:val="00D84D2F"/>
    <w:rsid w:val="00D85737"/>
    <w:rsid w:val="00D86BE0"/>
    <w:rsid w:val="00DC6656"/>
    <w:rsid w:val="00DC78EA"/>
    <w:rsid w:val="00DD34C0"/>
    <w:rsid w:val="00DD55A5"/>
    <w:rsid w:val="00DF62F4"/>
    <w:rsid w:val="00E035BC"/>
    <w:rsid w:val="00E113D5"/>
    <w:rsid w:val="00E13388"/>
    <w:rsid w:val="00E2375A"/>
    <w:rsid w:val="00E80C5A"/>
    <w:rsid w:val="00EA25B1"/>
    <w:rsid w:val="00EA46BD"/>
    <w:rsid w:val="00EB6F3F"/>
    <w:rsid w:val="00ED060A"/>
    <w:rsid w:val="00EE2092"/>
    <w:rsid w:val="00F15FCF"/>
    <w:rsid w:val="00F27FB7"/>
    <w:rsid w:val="00F42CDA"/>
    <w:rsid w:val="00F44C01"/>
    <w:rsid w:val="00F50280"/>
    <w:rsid w:val="00F52E3C"/>
    <w:rsid w:val="00F94053"/>
    <w:rsid w:val="00FA35E9"/>
    <w:rsid w:val="00FA4C48"/>
    <w:rsid w:val="00FB4AF2"/>
    <w:rsid w:val="00FC67F2"/>
    <w:rsid w:val="00FD5A65"/>
    <w:rsid w:val="00FF2C6A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9258C"/>
  <w15:docId w15:val="{1CC771D4-BE93-4480-A2A2-9FC49326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28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28F"/>
    <w:pPr>
      <w:keepNext/>
      <w:keepLines/>
      <w:widowControl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2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40FB7"/>
    <w:pPr>
      <w:widowControl/>
      <w:suppressAutoHyphens w:val="0"/>
      <w:ind w:left="720"/>
      <w:contextualSpacing/>
    </w:pPr>
    <w:rPr>
      <w:rFonts w:eastAsia="Times New Roman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78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1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3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7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5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7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9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4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8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5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3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48F68-349E-46A5-8C8A-A11F97F4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Milojko Arsic</dc:creator>
  <cp:lastModifiedBy>Aleksandar rADIVOJEVIC</cp:lastModifiedBy>
  <cp:revision>11</cp:revision>
  <cp:lastPrinted>2022-06-23T08:04:00Z</cp:lastPrinted>
  <dcterms:created xsi:type="dcterms:W3CDTF">2022-06-22T16:32:00Z</dcterms:created>
  <dcterms:modified xsi:type="dcterms:W3CDTF">2022-06-23T08:24:00Z</dcterms:modified>
</cp:coreProperties>
</file>