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8F" w:rsidRPr="00C3483D" w:rsidRDefault="000A328F" w:rsidP="000A328F">
      <w:pPr>
        <w:pStyle w:val="Heading1"/>
        <w:spacing w:after="120"/>
        <w:jc w:val="both"/>
        <w:rPr>
          <w:rFonts w:ascii="Times New Roman" w:hAnsi="Times New Roman" w:cs="Times New Roman"/>
          <w:b/>
          <w:lang w:val="sr-Latn-RS"/>
        </w:rPr>
      </w:pPr>
      <w:r w:rsidRPr="00C3483D">
        <w:rPr>
          <w:rFonts w:ascii="Times New Roman" w:hAnsi="Times New Roman" w:cs="Times New Roman"/>
          <w:b/>
          <w:lang w:val="sr-Latn-RS"/>
        </w:rPr>
        <w:t xml:space="preserve">KVARTALNI MONITOR BR. </w:t>
      </w:r>
      <w:r w:rsidR="007A2D7F" w:rsidRPr="00C3483D">
        <w:rPr>
          <w:rFonts w:ascii="Times New Roman" w:hAnsi="Times New Roman" w:cs="Times New Roman"/>
          <w:b/>
          <w:lang w:val="sr-Latn-RS"/>
        </w:rPr>
        <w:t>6</w:t>
      </w:r>
      <w:r w:rsidR="00AB0717" w:rsidRPr="00C3483D">
        <w:rPr>
          <w:rFonts w:ascii="Times New Roman" w:hAnsi="Times New Roman" w:cs="Times New Roman"/>
          <w:b/>
          <w:lang w:val="sr-Latn-RS"/>
        </w:rPr>
        <w:t>7</w:t>
      </w:r>
    </w:p>
    <w:p w:rsidR="000A328F" w:rsidRPr="00C3483D" w:rsidRDefault="000A328F" w:rsidP="000A328F">
      <w:pPr>
        <w:spacing w:after="240"/>
        <w:jc w:val="both"/>
        <w:rPr>
          <w:b/>
          <w:i/>
          <w:lang w:val="sr-Latn-RS"/>
        </w:rPr>
      </w:pPr>
      <w:r w:rsidRPr="00C3483D">
        <w:rPr>
          <w:b/>
          <w:i/>
          <w:lang w:val="sr-Latn-RS"/>
        </w:rPr>
        <w:t>Saopštenje za medije</w:t>
      </w:r>
    </w:p>
    <w:p w:rsidR="001D4C19" w:rsidRPr="00C3483D" w:rsidRDefault="000A328F" w:rsidP="001D4C19">
      <w:pPr>
        <w:jc w:val="both"/>
        <w:rPr>
          <w:lang w:val="sr-Latn-RS"/>
        </w:rPr>
      </w:pPr>
      <w:r w:rsidRPr="00C3483D">
        <w:rPr>
          <w:b/>
          <w:lang w:val="sr-Latn-RS"/>
        </w:rPr>
        <w:t xml:space="preserve">BEOGRAD, </w:t>
      </w:r>
      <w:r w:rsidR="007A2D7F" w:rsidRPr="00C3483D">
        <w:rPr>
          <w:b/>
          <w:lang w:val="sr-Latn-RS"/>
        </w:rPr>
        <w:t>2</w:t>
      </w:r>
      <w:r w:rsidR="00AB0717" w:rsidRPr="00C3483D">
        <w:rPr>
          <w:b/>
          <w:lang w:val="sr-Latn-RS"/>
        </w:rPr>
        <w:t>2</w:t>
      </w:r>
      <w:r w:rsidR="00AC6E17" w:rsidRPr="00C3483D">
        <w:rPr>
          <w:b/>
          <w:lang w:val="sr-Latn-RS"/>
        </w:rPr>
        <w:t>.</w:t>
      </w:r>
      <w:r w:rsidR="00AB0717" w:rsidRPr="00C3483D">
        <w:rPr>
          <w:b/>
          <w:lang w:val="sr-Latn-RS"/>
        </w:rPr>
        <w:t xml:space="preserve">mart </w:t>
      </w:r>
      <w:r w:rsidR="00913EFC" w:rsidRPr="00C3483D">
        <w:rPr>
          <w:b/>
          <w:lang w:val="sr-Latn-RS"/>
        </w:rPr>
        <w:t>202</w:t>
      </w:r>
      <w:r w:rsidR="00AB0717" w:rsidRPr="00C3483D">
        <w:rPr>
          <w:b/>
          <w:lang w:val="sr-Latn-RS"/>
        </w:rPr>
        <w:t>2</w:t>
      </w:r>
      <w:r w:rsidR="00C3483D" w:rsidRPr="00C3483D">
        <w:rPr>
          <w:b/>
          <w:lang w:val="sr-Latn-RS"/>
        </w:rPr>
        <w:t>. godine</w:t>
      </w:r>
      <w:r w:rsidRPr="00C3483D">
        <w:rPr>
          <w:lang w:val="sr-Latn-RS"/>
        </w:rPr>
        <w:t xml:space="preserve"> – Autori najnovijeg, </w:t>
      </w:r>
      <w:r w:rsidR="007A2D7F" w:rsidRPr="00C3483D">
        <w:rPr>
          <w:lang w:val="sr-Latn-RS"/>
        </w:rPr>
        <w:t>6</w:t>
      </w:r>
      <w:r w:rsidR="00AB0717" w:rsidRPr="00C3483D">
        <w:rPr>
          <w:lang w:val="sr-Latn-RS"/>
        </w:rPr>
        <w:t>7</w:t>
      </w:r>
      <w:r w:rsidRPr="00C3483D">
        <w:rPr>
          <w:lang w:val="sr-Latn-RS"/>
        </w:rPr>
        <w:t>. broja Kvartalnog monitora, u izdanju Ekonomskog fakulteta u Beogradu i FREN-a, istakli su sledeće</w:t>
      </w:r>
    </w:p>
    <w:p w:rsidR="0070734D" w:rsidRPr="00C3483D" w:rsidRDefault="0070734D" w:rsidP="002017BB">
      <w:pPr>
        <w:rPr>
          <w:color w:val="000000"/>
          <w:lang w:val="sr-Latn-RS"/>
        </w:rPr>
      </w:pPr>
    </w:p>
    <w:p w:rsidR="0075072F" w:rsidRPr="00C3483D" w:rsidRDefault="00BD1D88" w:rsidP="000D3CAA">
      <w:pPr>
        <w:jc w:val="both"/>
        <w:rPr>
          <w:color w:val="FF0000"/>
          <w:lang w:val="sr-Latn-RS"/>
        </w:rPr>
      </w:pPr>
      <w:r w:rsidRPr="00C3483D">
        <w:rPr>
          <w:color w:val="000000"/>
          <w:lang w:val="sr-Latn-RS"/>
        </w:rPr>
        <w:t>Ekonomske posledice pandemije COVID-19 još se nisu potpuno smirile, a svet se nalazi pred novim i velikim neizvesnostima. Rat u Ukrajini, uz već neko vreme prisutnu energetsku krizu  i visoku inflaciju sigurno će znatno pogoršati makroekonomske trendove u čitavoj Evropi. Koliko će to pogoršanje biti i koliko će trajati zavisiće u velikoj od daljeg razvoja situacije u Ukrajini, što se trenutno ne može pouzdano predvideti. Srbija, kao uostalom i druge evropske zemlje, novu nestabilnost dočekuje s nešto lošijim makroekonomskim indikatorima nego uoči krize iz 2020. godine. To je razumljivo uzimajući u obzir da je prethodna kriza u određenoj meri iscrpila javne finansije (povećala fiskalni deficit i javni dug) i uticala na ubrzanje inflacije.</w:t>
      </w:r>
    </w:p>
    <w:p w:rsidR="0075072F" w:rsidRPr="00C3483D" w:rsidRDefault="0075072F" w:rsidP="000D3CAA">
      <w:pPr>
        <w:jc w:val="both"/>
        <w:rPr>
          <w:color w:val="FF0000"/>
          <w:lang w:val="sr-Latn-RS"/>
        </w:rPr>
      </w:pPr>
    </w:p>
    <w:p w:rsidR="0075072F" w:rsidRPr="00C3483D" w:rsidRDefault="0075072F" w:rsidP="000D3CAA">
      <w:pPr>
        <w:jc w:val="both"/>
        <w:rPr>
          <w:lang w:val="sr-Latn-RS"/>
        </w:rPr>
      </w:pPr>
      <w:r w:rsidRPr="00C3483D">
        <w:rPr>
          <w:lang w:val="sr-Latn-RS"/>
        </w:rPr>
        <w:t xml:space="preserve">Moguće je identifikovati  mehanizme preko kojih će rat u Ukrajini uticati na privredu Srbije, a to su rast cena primarnih proizvoda, promene relativnih cena proizvoda, pad izvoza u Rusiji i Ukrajinu, kidanje proizvodnih lanaca, manji rast BDP u evropskim zemljama, izmeštanje proizvodnje iz Rusije i dr. Najvažnije makroekonomske posledice krize za Srbiju su sporiji rast BDP, ubrzanje inflacije, rast fiskalnog deficita i javnog duga, rast spoljnotrgovinskog deficita, pad stranih direktnih investicija i značajno smanjenje deviznih rezervi.  Osim negativnih posledica rata moguće su i </w:t>
      </w:r>
      <w:proofErr w:type="spellStart"/>
      <w:r w:rsidRPr="00C3483D">
        <w:rPr>
          <w:lang w:val="sr-Latn-RS"/>
        </w:rPr>
        <w:t>odredjene</w:t>
      </w:r>
      <w:proofErr w:type="spellEnd"/>
      <w:r w:rsidRPr="00C3483D">
        <w:rPr>
          <w:lang w:val="sr-Latn-RS"/>
        </w:rPr>
        <w:t xml:space="preserve"> ekonomske koristi za Srbiju, kao što je to slučaj sa povećanjem kvota za izvoz </w:t>
      </w:r>
      <w:proofErr w:type="spellStart"/>
      <w:r w:rsidRPr="00C3483D">
        <w:rPr>
          <w:lang w:val="sr-Latn-RS"/>
        </w:rPr>
        <w:t>gvoždja</w:t>
      </w:r>
      <w:proofErr w:type="spellEnd"/>
      <w:r w:rsidRPr="00C3483D">
        <w:rPr>
          <w:lang w:val="sr-Latn-RS"/>
        </w:rPr>
        <w:t xml:space="preserve"> u EU. </w:t>
      </w:r>
      <w:proofErr w:type="spellStart"/>
      <w:r w:rsidRPr="00C3483D">
        <w:rPr>
          <w:lang w:val="sr-Latn-RS"/>
        </w:rPr>
        <w:t>Takodje</w:t>
      </w:r>
      <w:proofErr w:type="spellEnd"/>
      <w:r w:rsidRPr="00C3483D">
        <w:rPr>
          <w:lang w:val="sr-Latn-RS"/>
        </w:rPr>
        <w:t xml:space="preserve">, postoje nagoveštaji da će doći do izmeštanja nekih Zapadnih preduzeća iz Rusije u druge zemlje centralne i istočne Evrope, </w:t>
      </w:r>
      <w:r w:rsidR="00C3483D" w:rsidRPr="00C3483D">
        <w:rPr>
          <w:lang w:val="sr-Latn-RS"/>
        </w:rPr>
        <w:t>uključujući</w:t>
      </w:r>
      <w:r w:rsidRPr="00C3483D">
        <w:rPr>
          <w:lang w:val="sr-Latn-RS"/>
        </w:rPr>
        <w:t xml:space="preserve">  i Srbiju. </w:t>
      </w:r>
    </w:p>
    <w:p w:rsidR="0098046B" w:rsidRPr="00C3483D" w:rsidRDefault="0098046B" w:rsidP="000D3CAA">
      <w:pPr>
        <w:jc w:val="both"/>
        <w:rPr>
          <w:lang w:val="sr-Latn-RS"/>
        </w:rPr>
      </w:pPr>
    </w:p>
    <w:p w:rsidR="002C5B58" w:rsidRPr="00C3483D" w:rsidRDefault="00B02C65" w:rsidP="000D3CAA">
      <w:pPr>
        <w:jc w:val="both"/>
        <w:rPr>
          <w:color w:val="000000"/>
          <w:lang w:val="sr-Latn-RS"/>
        </w:rPr>
      </w:pPr>
      <w:r w:rsidRPr="00C3483D">
        <w:rPr>
          <w:color w:val="000000"/>
          <w:lang w:val="sr-Latn-RS"/>
        </w:rPr>
        <w:t xml:space="preserve">Krajem 2021. pojavili su se jasni indikatori brojnih ekonomskih problema koji sprečavaju nastavak relativno visokog privrednog rasta Srbije u 2022. godini  - energetska kriza u svetu pojačana lošim upravljanjem </w:t>
      </w:r>
      <w:r w:rsidR="000D3CAA" w:rsidRPr="00C3483D">
        <w:rPr>
          <w:color w:val="000000"/>
          <w:lang w:val="sr-Latn-RS"/>
        </w:rPr>
        <w:t xml:space="preserve">EPS-om i </w:t>
      </w:r>
      <w:r w:rsidRPr="00C3483D">
        <w:rPr>
          <w:color w:val="000000"/>
          <w:lang w:val="sr-Latn-RS"/>
        </w:rPr>
        <w:t xml:space="preserve">Srbijagasom, ubrzanje inflacije, pogoršanje </w:t>
      </w:r>
      <w:proofErr w:type="spellStart"/>
      <w:r w:rsidRPr="00C3483D">
        <w:rPr>
          <w:color w:val="000000"/>
          <w:lang w:val="sr-Latn-RS"/>
        </w:rPr>
        <w:t>spoljnoekonomskih</w:t>
      </w:r>
      <w:proofErr w:type="spellEnd"/>
      <w:r w:rsidRPr="00C3483D">
        <w:rPr>
          <w:color w:val="000000"/>
          <w:lang w:val="sr-Latn-RS"/>
        </w:rPr>
        <w:t xml:space="preserve"> kretanja i drugo. Kad se na te trendove dodaju i negativne ekonomske posledice izbijanja rata u Ukrajini izvesno je da se visok</w:t>
      </w:r>
      <w:r w:rsidR="0026696F" w:rsidRPr="00C3483D">
        <w:rPr>
          <w:color w:val="000000"/>
          <w:lang w:val="sr-Latn-RS"/>
        </w:rPr>
        <w:t>i</w:t>
      </w:r>
      <w:r w:rsidRPr="00C3483D">
        <w:rPr>
          <w:color w:val="000000"/>
          <w:lang w:val="sr-Latn-RS"/>
        </w:rPr>
        <w:t xml:space="preserve"> privredn</w:t>
      </w:r>
      <w:r w:rsidR="0026696F" w:rsidRPr="00C3483D">
        <w:rPr>
          <w:color w:val="000000"/>
          <w:lang w:val="sr-Latn-RS"/>
        </w:rPr>
        <w:t>i</w:t>
      </w:r>
      <w:r w:rsidRPr="00C3483D">
        <w:rPr>
          <w:color w:val="000000"/>
          <w:lang w:val="sr-Latn-RS"/>
        </w:rPr>
        <w:t xml:space="preserve"> rast Srbije iz 2021. naglo prekida početkom 2022. godine. Koliko </w:t>
      </w:r>
      <w:r w:rsidR="0026696F" w:rsidRPr="00C3483D">
        <w:rPr>
          <w:color w:val="000000"/>
          <w:lang w:val="sr-Latn-RS"/>
        </w:rPr>
        <w:t xml:space="preserve">veliko </w:t>
      </w:r>
      <w:r w:rsidRPr="00C3483D">
        <w:rPr>
          <w:color w:val="000000"/>
          <w:lang w:val="sr-Latn-RS"/>
        </w:rPr>
        <w:t xml:space="preserve">će ovo pogoršanje biti i koliko će trajati zasad je nemoguće predvideti, ali trenutno je skoro izvesno da će rast BDP u 2022. biti </w:t>
      </w:r>
      <w:r w:rsidR="000D3CAA" w:rsidRPr="00C3483D">
        <w:rPr>
          <w:color w:val="000000"/>
          <w:lang w:val="sr-Latn-RS"/>
        </w:rPr>
        <w:t xml:space="preserve">znatno </w:t>
      </w:r>
      <w:r w:rsidRPr="00C3483D">
        <w:rPr>
          <w:color w:val="000000"/>
          <w:lang w:val="sr-Latn-RS"/>
        </w:rPr>
        <w:t>manji od planiranih 4,5%.</w:t>
      </w:r>
      <w:r w:rsidR="00C829B1" w:rsidRPr="00C3483D">
        <w:rPr>
          <w:color w:val="000000"/>
          <w:lang w:val="sr-Latn-RS"/>
        </w:rPr>
        <w:t xml:space="preserve"> Prognoziramo da će u narednim mesecima inflacija nastaviti da se povećava, kako ukupna tako i bazna. Rat u Ukrajini i sankcije prema Rusiji već utiču na rast cena energenata, metala, žitarica i hrane na svetskom tržištu, a verovatno će u narednom periodu biti zahvaćeno sve više drugih primarnih proizvoda i repromaterijala. Zbog toga očekujemo da inflacija u drugom kv</w:t>
      </w:r>
      <w:r w:rsidR="0026696F" w:rsidRPr="00C3483D">
        <w:rPr>
          <w:color w:val="000000"/>
          <w:lang w:val="sr-Latn-RS"/>
        </w:rPr>
        <w:t>a</w:t>
      </w:r>
      <w:r w:rsidR="00C829B1" w:rsidRPr="00C3483D">
        <w:rPr>
          <w:color w:val="000000"/>
          <w:lang w:val="sr-Latn-RS"/>
        </w:rPr>
        <w:t xml:space="preserve">rtalu privremeno uđe u zonu dvocifrenog međugodišnjeg rasta. </w:t>
      </w:r>
      <w:r w:rsidR="00A256E1" w:rsidRPr="00C3483D">
        <w:rPr>
          <w:color w:val="000000"/>
          <w:lang w:val="sr-Latn-RS"/>
        </w:rPr>
        <w:t xml:space="preserve">Krajem prethodne i početkom ove godine značajno je povećan deficit u spoljnoj trgovini, što je dobrim delom posledica istorijski visokih cena energenata, ali i ozbiljnih propusta u upravljanju javnim preduzećima zbog čega Srbija tokom ove zima uvozi vanredno velike količine gasa i električne energije po visokim cenama. U ovoj godini očekujemo rast </w:t>
      </w:r>
      <w:r w:rsidR="00C3483D" w:rsidRPr="00C3483D">
        <w:rPr>
          <w:color w:val="000000"/>
          <w:lang w:val="sr-Latn-RS"/>
        </w:rPr>
        <w:t>spoljnotrgovinskog</w:t>
      </w:r>
      <w:r w:rsidR="00A256E1" w:rsidRPr="00C3483D">
        <w:rPr>
          <w:color w:val="000000"/>
          <w:lang w:val="sr-Latn-RS"/>
        </w:rPr>
        <w:t xml:space="preserve"> deficita</w:t>
      </w:r>
      <w:r w:rsidR="000D3CAA" w:rsidRPr="00C3483D">
        <w:rPr>
          <w:color w:val="000000"/>
          <w:lang w:val="sr-Latn-RS"/>
        </w:rPr>
        <w:t>,</w:t>
      </w:r>
      <w:r w:rsidR="002A3619" w:rsidRPr="00C3483D">
        <w:rPr>
          <w:color w:val="000000"/>
          <w:lang w:val="sr-Latn-RS"/>
        </w:rPr>
        <w:t xml:space="preserve"> dok je priliv stranih direktnih investicija krajnje neizvestan. U prethodnoj godini poboljšano je stanje  na tržištu rada, što se ispoljava kroz  umeren rast zaposlenosti i realnih zarada.</w:t>
      </w:r>
      <w:r w:rsidR="00A256E1" w:rsidRPr="00C3483D">
        <w:rPr>
          <w:color w:val="000000"/>
          <w:lang w:val="sr-Latn-RS"/>
        </w:rPr>
        <w:t xml:space="preserve"> </w:t>
      </w:r>
      <w:r w:rsidR="002A3619" w:rsidRPr="00C3483D">
        <w:rPr>
          <w:color w:val="000000"/>
          <w:lang w:val="sr-Latn-RS"/>
        </w:rPr>
        <w:t xml:space="preserve">U 2022. stanje na tržištu rada će biti pod uticajem usporavanja rasta privrede, rasta inflacije i povećanja opšte </w:t>
      </w:r>
      <w:r w:rsidR="002A3619" w:rsidRPr="00C3483D">
        <w:rPr>
          <w:color w:val="000000"/>
          <w:lang w:val="sr-Latn-RS"/>
        </w:rPr>
        <w:lastRenderedPageBreak/>
        <w:t>nesigurnosti usled čega očekujemo skroman realni rast zarade ili stagnaciju zarada, kao i stagnaciju zaposlenosti.</w:t>
      </w:r>
    </w:p>
    <w:p w:rsidR="0098046B" w:rsidRPr="00C3483D" w:rsidRDefault="0098046B" w:rsidP="000D3CAA">
      <w:pPr>
        <w:jc w:val="both"/>
        <w:rPr>
          <w:lang w:val="sr-Latn-RS"/>
        </w:rPr>
      </w:pPr>
    </w:p>
    <w:p w:rsidR="0098046B" w:rsidRPr="00C3483D" w:rsidRDefault="0075072F" w:rsidP="000D3CAA">
      <w:pPr>
        <w:jc w:val="both"/>
        <w:rPr>
          <w:color w:val="000000"/>
          <w:lang w:val="sr-Latn-RS"/>
        </w:rPr>
      </w:pPr>
      <w:r w:rsidRPr="00C3483D">
        <w:rPr>
          <w:color w:val="000000"/>
          <w:lang w:val="sr-Latn-RS"/>
        </w:rPr>
        <w:t>Problemi u energetskom sektoru kao i predizborna troš</w:t>
      </w:r>
      <w:r w:rsidR="00946743" w:rsidRPr="00C3483D">
        <w:rPr>
          <w:color w:val="000000"/>
          <w:lang w:val="sr-Latn-RS"/>
        </w:rPr>
        <w:t>e</w:t>
      </w:r>
      <w:r w:rsidRPr="00C3483D">
        <w:rPr>
          <w:color w:val="000000"/>
          <w:lang w:val="sr-Latn-RS"/>
        </w:rPr>
        <w:t>nj</w:t>
      </w:r>
      <w:r w:rsidR="00946743" w:rsidRPr="00C3483D">
        <w:rPr>
          <w:color w:val="000000"/>
          <w:lang w:val="sr-Latn-RS"/>
        </w:rPr>
        <w:t>a</w:t>
      </w:r>
      <w:r w:rsidRPr="00C3483D">
        <w:rPr>
          <w:color w:val="000000"/>
          <w:lang w:val="sr-Latn-RS"/>
        </w:rPr>
        <w:t xml:space="preserve"> utical</w:t>
      </w:r>
      <w:r w:rsidR="00946743" w:rsidRPr="00C3483D">
        <w:rPr>
          <w:color w:val="000000"/>
          <w:lang w:val="sr-Latn-RS"/>
        </w:rPr>
        <w:t>a</w:t>
      </w:r>
      <w:r w:rsidRPr="00C3483D">
        <w:rPr>
          <w:color w:val="000000"/>
          <w:lang w:val="sr-Latn-RS"/>
        </w:rPr>
        <w:t xml:space="preserve"> su da fis</w:t>
      </w:r>
      <w:r w:rsidR="00946743" w:rsidRPr="00C3483D">
        <w:rPr>
          <w:color w:val="000000"/>
          <w:lang w:val="sr-Latn-RS"/>
        </w:rPr>
        <w:t>kalni</w:t>
      </w:r>
      <w:r w:rsidRPr="00C3483D">
        <w:rPr>
          <w:color w:val="000000"/>
          <w:lang w:val="sr-Latn-RS"/>
        </w:rPr>
        <w:t xml:space="preserve"> defi</w:t>
      </w:r>
      <w:r w:rsidR="00946743" w:rsidRPr="00C3483D">
        <w:rPr>
          <w:color w:val="000000"/>
          <w:lang w:val="sr-Latn-RS"/>
        </w:rPr>
        <w:t>c</w:t>
      </w:r>
      <w:r w:rsidRPr="00C3483D">
        <w:rPr>
          <w:color w:val="000000"/>
          <w:lang w:val="sr-Latn-RS"/>
        </w:rPr>
        <w:t>it bude znatno veći n</w:t>
      </w:r>
      <w:r w:rsidR="00946743" w:rsidRPr="00C3483D">
        <w:rPr>
          <w:color w:val="000000"/>
          <w:lang w:val="sr-Latn-RS"/>
        </w:rPr>
        <w:t>e</w:t>
      </w:r>
      <w:r w:rsidRPr="00C3483D">
        <w:rPr>
          <w:color w:val="000000"/>
          <w:lang w:val="sr-Latn-RS"/>
        </w:rPr>
        <w:t xml:space="preserve">go što je </w:t>
      </w:r>
      <w:r w:rsidR="00C3483D" w:rsidRPr="00C3483D">
        <w:rPr>
          <w:color w:val="000000"/>
          <w:lang w:val="sr-Latn-RS"/>
        </w:rPr>
        <w:t>uobičajeno</w:t>
      </w:r>
      <w:r w:rsidR="0026696F" w:rsidRPr="00C3483D">
        <w:rPr>
          <w:color w:val="000000"/>
          <w:lang w:val="sr-Latn-RS"/>
        </w:rPr>
        <w:t xml:space="preserve"> na početku godine</w:t>
      </w:r>
      <w:r w:rsidRPr="00C3483D">
        <w:rPr>
          <w:color w:val="000000"/>
          <w:lang w:val="sr-Latn-RS"/>
        </w:rPr>
        <w:t>.  Na povećanje deficita dodatno će  utic</w:t>
      </w:r>
      <w:r w:rsidR="0098046B" w:rsidRPr="00C3483D">
        <w:rPr>
          <w:color w:val="000000"/>
          <w:lang w:val="sr-Latn-RS"/>
        </w:rPr>
        <w:t>a</w:t>
      </w:r>
      <w:r w:rsidRPr="00C3483D">
        <w:rPr>
          <w:color w:val="000000"/>
          <w:lang w:val="sr-Latn-RS"/>
        </w:rPr>
        <w:t>ti</w:t>
      </w:r>
      <w:r w:rsidRPr="00C3483D">
        <w:rPr>
          <w:lang w:val="sr-Latn-RS"/>
        </w:rPr>
        <w:t xml:space="preserve"> </w:t>
      </w:r>
      <w:r w:rsidRPr="00C3483D">
        <w:rPr>
          <w:color w:val="000000"/>
          <w:lang w:val="sr-Latn-RS"/>
        </w:rPr>
        <w:t>sporiji rast privrede od planiranog</w:t>
      </w:r>
      <w:r w:rsidR="0098046B" w:rsidRPr="00C3483D">
        <w:rPr>
          <w:color w:val="000000"/>
          <w:lang w:val="sr-Latn-RS"/>
        </w:rPr>
        <w:t>,</w:t>
      </w:r>
      <w:r w:rsidRPr="00C3483D">
        <w:rPr>
          <w:color w:val="000000"/>
          <w:lang w:val="sr-Latn-RS"/>
        </w:rPr>
        <w:t xml:space="preserve"> </w:t>
      </w:r>
      <w:r w:rsidR="0098046B" w:rsidRPr="00C3483D">
        <w:rPr>
          <w:color w:val="000000"/>
          <w:lang w:val="sr-Latn-RS"/>
        </w:rPr>
        <w:t xml:space="preserve">odustajanje od indeksacije akciza u januaru, </w:t>
      </w:r>
      <w:r w:rsidRPr="00C3483D">
        <w:rPr>
          <w:color w:val="000000"/>
          <w:lang w:val="sr-Latn-RS"/>
        </w:rPr>
        <w:t xml:space="preserve">privremeno smanjenje akciza na </w:t>
      </w:r>
      <w:r w:rsidR="00946743" w:rsidRPr="00C3483D">
        <w:rPr>
          <w:color w:val="000000"/>
          <w:lang w:val="sr-Latn-RS"/>
        </w:rPr>
        <w:t>ene</w:t>
      </w:r>
      <w:r w:rsidR="0098046B" w:rsidRPr="00C3483D">
        <w:rPr>
          <w:color w:val="000000"/>
          <w:lang w:val="sr-Latn-RS"/>
        </w:rPr>
        <w:t>r</w:t>
      </w:r>
      <w:r w:rsidR="00946743" w:rsidRPr="00C3483D">
        <w:rPr>
          <w:color w:val="000000"/>
          <w:lang w:val="sr-Latn-RS"/>
        </w:rPr>
        <w:t>gente, dodatni rashodi za pokrivanje gubitka u EPS-u i Srbijagasu</w:t>
      </w:r>
      <w:r w:rsidRPr="00C3483D">
        <w:rPr>
          <w:color w:val="000000"/>
          <w:lang w:val="sr-Latn-RS"/>
        </w:rPr>
        <w:t xml:space="preserve">, kao i izdaci za paušalna davanja mladima i za populacionu politiku koji nisu bili planirani usvojenim budžetom. </w:t>
      </w:r>
      <w:r w:rsidR="00946743" w:rsidRPr="00C3483D">
        <w:rPr>
          <w:color w:val="000000"/>
          <w:lang w:val="sr-Latn-RS"/>
        </w:rPr>
        <w:t xml:space="preserve">Već sada je izvesno da će fiskalni deficit u ovoj godini biti znatno veći od planiranih 3% BDP, a to implicira i povećanje zaduživanja države. </w:t>
      </w:r>
      <w:r w:rsidR="00926498" w:rsidRPr="00C3483D">
        <w:rPr>
          <w:color w:val="000000"/>
          <w:lang w:val="sr-Latn-RS"/>
        </w:rPr>
        <w:t>Bilo bi dobro da se odustane od nepotrebnih rasipanja budžetskog novca</w:t>
      </w:r>
      <w:r w:rsidR="0098046B" w:rsidRPr="00C3483D">
        <w:rPr>
          <w:color w:val="000000"/>
          <w:lang w:val="sr-Latn-RS"/>
        </w:rPr>
        <w:t xml:space="preserve"> i</w:t>
      </w:r>
      <w:r w:rsidR="00926498" w:rsidRPr="00C3483D">
        <w:rPr>
          <w:color w:val="000000"/>
          <w:lang w:val="sr-Latn-RS"/>
        </w:rPr>
        <w:t xml:space="preserve"> da se odloži realizacija nekih </w:t>
      </w:r>
      <w:r w:rsidR="00C3483D" w:rsidRPr="00C3483D">
        <w:rPr>
          <w:color w:val="000000"/>
          <w:lang w:val="sr-Latn-RS"/>
        </w:rPr>
        <w:t>ne prioritetnih</w:t>
      </w:r>
      <w:r w:rsidR="00926498" w:rsidRPr="00C3483D">
        <w:rPr>
          <w:color w:val="000000"/>
          <w:lang w:val="sr-Latn-RS"/>
        </w:rPr>
        <w:t xml:space="preserve"> projekata</w:t>
      </w:r>
      <w:r w:rsidR="00F50280" w:rsidRPr="00C3483D">
        <w:rPr>
          <w:color w:val="000000"/>
          <w:lang w:val="sr-Latn-RS"/>
        </w:rPr>
        <w:t>, kako</w:t>
      </w:r>
      <w:r w:rsidR="0098046B" w:rsidRPr="00C3483D">
        <w:rPr>
          <w:color w:val="000000"/>
          <w:lang w:val="sr-Latn-RS"/>
        </w:rPr>
        <w:t xml:space="preserve">  bi se </w:t>
      </w:r>
      <w:r w:rsidR="00F50280" w:rsidRPr="00C3483D">
        <w:rPr>
          <w:color w:val="000000"/>
          <w:lang w:val="sr-Latn-RS"/>
        </w:rPr>
        <w:t xml:space="preserve"> napravio </w:t>
      </w:r>
      <w:r w:rsidR="0098046B" w:rsidRPr="00C3483D">
        <w:rPr>
          <w:color w:val="000000"/>
          <w:lang w:val="sr-Latn-RS"/>
        </w:rPr>
        <w:t xml:space="preserve">prostor za eventualne nove </w:t>
      </w:r>
      <w:proofErr w:type="spellStart"/>
      <w:r w:rsidR="0098046B" w:rsidRPr="00C3483D">
        <w:rPr>
          <w:color w:val="000000"/>
          <w:lang w:val="sr-Latn-RS"/>
        </w:rPr>
        <w:t>antikrizne</w:t>
      </w:r>
      <w:proofErr w:type="spellEnd"/>
      <w:r w:rsidR="0098046B" w:rsidRPr="00C3483D">
        <w:rPr>
          <w:color w:val="000000"/>
          <w:lang w:val="sr-Latn-RS"/>
        </w:rPr>
        <w:t xml:space="preserve"> mere, a da </w:t>
      </w:r>
      <w:proofErr w:type="spellStart"/>
      <w:r w:rsidR="0098046B" w:rsidRPr="00C3483D">
        <w:rPr>
          <w:color w:val="000000"/>
          <w:lang w:val="sr-Latn-RS"/>
        </w:rPr>
        <w:t>pritom</w:t>
      </w:r>
      <w:proofErr w:type="spellEnd"/>
      <w:r w:rsidR="0098046B" w:rsidRPr="00C3483D">
        <w:rPr>
          <w:color w:val="000000"/>
          <w:lang w:val="sr-Latn-RS"/>
        </w:rPr>
        <w:t xml:space="preserve"> fiskalni deficit i javni dug ostanu na održivoj putanji.</w:t>
      </w:r>
    </w:p>
    <w:p w:rsidR="00FF781F" w:rsidRPr="00C3483D" w:rsidRDefault="00FF781F" w:rsidP="000D3CAA">
      <w:pPr>
        <w:jc w:val="both"/>
        <w:rPr>
          <w:color w:val="000000"/>
          <w:lang w:val="sr-Latn-RS"/>
        </w:rPr>
      </w:pPr>
    </w:p>
    <w:p w:rsidR="009F5DC3" w:rsidRPr="00C3483D" w:rsidRDefault="00F50280" w:rsidP="000D3CAA">
      <w:pPr>
        <w:jc w:val="both"/>
        <w:rPr>
          <w:lang w:val="sr-Latn-RS"/>
        </w:rPr>
      </w:pPr>
      <w:r w:rsidRPr="00C3483D">
        <w:rPr>
          <w:lang w:val="sr-Latn-RS"/>
        </w:rPr>
        <w:t xml:space="preserve">Kamatne stope u Srbije su u drugoj polovini prethodne godine bile duboko realne </w:t>
      </w:r>
      <w:r w:rsidR="00C3483D" w:rsidRPr="00C3483D">
        <w:rPr>
          <w:lang w:val="sr-Latn-RS"/>
        </w:rPr>
        <w:t>negativne</w:t>
      </w:r>
      <w:r w:rsidRPr="00C3483D">
        <w:rPr>
          <w:lang w:val="sr-Latn-RS"/>
        </w:rPr>
        <w:t xml:space="preserve">, što je podstaklo rast tražnje za kreditima, ali i </w:t>
      </w:r>
      <w:r w:rsidR="00C3483D" w:rsidRPr="00C3483D">
        <w:rPr>
          <w:lang w:val="sr-Latn-RS"/>
        </w:rPr>
        <w:t>ubrzanje</w:t>
      </w:r>
      <w:r w:rsidRPr="00C3483D">
        <w:rPr>
          <w:lang w:val="sr-Latn-RS"/>
        </w:rPr>
        <w:t xml:space="preserve"> inflacije. </w:t>
      </w:r>
      <w:r w:rsidR="009F5DC3" w:rsidRPr="00C3483D">
        <w:rPr>
          <w:lang w:val="sr-Latn-RS"/>
        </w:rPr>
        <w:t xml:space="preserve">NBS se u suzbijanju inflacije </w:t>
      </w:r>
      <w:r w:rsidR="00C3483D" w:rsidRPr="00C3483D">
        <w:rPr>
          <w:lang w:val="sr-Latn-RS"/>
        </w:rPr>
        <w:t>dominanto</w:t>
      </w:r>
      <w:r w:rsidR="009F5DC3" w:rsidRPr="00C3483D">
        <w:rPr>
          <w:lang w:val="sr-Latn-RS"/>
        </w:rPr>
        <w:t xml:space="preserve"> oslanjala na držanje nominalnog kursa na fiksnom nivou,</w:t>
      </w:r>
      <w:r w:rsidR="00F15FCF" w:rsidRPr="00C3483D">
        <w:rPr>
          <w:lang w:val="sr-Latn-RS"/>
        </w:rPr>
        <w:t xml:space="preserve"> što je podržano administr</w:t>
      </w:r>
      <w:r w:rsidR="0026696F" w:rsidRPr="00C3483D">
        <w:rPr>
          <w:lang w:val="sr-Latn-RS"/>
        </w:rPr>
        <w:t>ati</w:t>
      </w:r>
      <w:r w:rsidR="00F15FCF" w:rsidRPr="00C3483D">
        <w:rPr>
          <w:lang w:val="sr-Latn-RS"/>
        </w:rPr>
        <w:t xml:space="preserve">vnim merama Vlade, kao što </w:t>
      </w:r>
      <w:r w:rsidR="00926498" w:rsidRPr="00C3483D">
        <w:rPr>
          <w:lang w:val="sr-Latn-RS"/>
        </w:rPr>
        <w:t xml:space="preserve">je </w:t>
      </w:r>
      <w:r w:rsidR="00F15FCF" w:rsidRPr="00C3483D">
        <w:rPr>
          <w:lang w:val="sr-Latn-RS"/>
        </w:rPr>
        <w:t>zamrzavanje i</w:t>
      </w:r>
      <w:r w:rsidR="00926498" w:rsidRPr="00C3483D">
        <w:rPr>
          <w:lang w:val="sr-Latn-RS"/>
        </w:rPr>
        <w:t>li</w:t>
      </w:r>
      <w:r w:rsidR="00F15FCF" w:rsidRPr="00C3483D">
        <w:rPr>
          <w:lang w:val="sr-Latn-RS"/>
        </w:rPr>
        <w:t xml:space="preserve"> ograničavanje cena energenata i još nekih proizvoda. Nije sigurno da li je NBS napustila važeći model monetarne politike</w:t>
      </w:r>
      <w:r w:rsidR="002C5B58" w:rsidRPr="00C3483D">
        <w:rPr>
          <w:lang w:val="sr-Latn-RS"/>
        </w:rPr>
        <w:t>,</w:t>
      </w:r>
      <w:r w:rsidR="00F15FCF" w:rsidRPr="00C3483D">
        <w:rPr>
          <w:lang w:val="sr-Latn-RS"/>
        </w:rPr>
        <w:t xml:space="preserve"> u okviru koga su kamatne stope ključni instrument za kontrolu kreditne aktivnosti i domaće tražnje</w:t>
      </w:r>
      <w:r w:rsidR="002C5B58" w:rsidRPr="00C3483D">
        <w:rPr>
          <w:lang w:val="sr-Latn-RS"/>
        </w:rPr>
        <w:t>,</w:t>
      </w:r>
      <w:r w:rsidR="00F15FCF" w:rsidRPr="00C3483D">
        <w:rPr>
          <w:lang w:val="sr-Latn-RS"/>
        </w:rPr>
        <w:t xml:space="preserve"> i prešla na model fiksnog kursa. Ukoliko je to slučaj</w:t>
      </w:r>
      <w:r w:rsidR="000D3CAA" w:rsidRPr="00C3483D">
        <w:rPr>
          <w:lang w:val="sr-Latn-RS"/>
        </w:rPr>
        <w:t>,</w:t>
      </w:r>
      <w:r w:rsidR="00F15FCF" w:rsidRPr="00C3483D">
        <w:rPr>
          <w:lang w:val="sr-Latn-RS"/>
        </w:rPr>
        <w:t xml:space="preserve"> takvu promenu bi trebalo </w:t>
      </w:r>
      <w:proofErr w:type="spellStart"/>
      <w:r w:rsidR="00F15FCF" w:rsidRPr="00C3483D">
        <w:rPr>
          <w:lang w:val="sr-Latn-RS"/>
        </w:rPr>
        <w:t>formaliz</w:t>
      </w:r>
      <w:bookmarkStart w:id="0" w:name="_GoBack"/>
      <w:bookmarkEnd w:id="0"/>
      <w:r w:rsidR="00F15FCF" w:rsidRPr="00C3483D">
        <w:rPr>
          <w:lang w:val="sr-Latn-RS"/>
        </w:rPr>
        <w:t>ovati</w:t>
      </w:r>
      <w:proofErr w:type="spellEnd"/>
      <w:r w:rsidR="000D3CAA" w:rsidRPr="00C3483D">
        <w:rPr>
          <w:lang w:val="sr-Latn-RS"/>
        </w:rPr>
        <w:t xml:space="preserve">, a </w:t>
      </w:r>
      <w:r w:rsidR="00F15FCF" w:rsidRPr="00C3483D">
        <w:rPr>
          <w:lang w:val="sr-Latn-RS"/>
        </w:rPr>
        <w:t xml:space="preserve"> fiskalnu,</w:t>
      </w:r>
      <w:r w:rsidR="000D3CAA" w:rsidRPr="00C3483D">
        <w:rPr>
          <w:lang w:val="sr-Latn-RS"/>
        </w:rPr>
        <w:t xml:space="preserve"> </w:t>
      </w:r>
      <w:r w:rsidR="00F15FCF" w:rsidRPr="00C3483D">
        <w:rPr>
          <w:lang w:val="sr-Latn-RS"/>
        </w:rPr>
        <w:t>monetarnu i politiku dohodaka uskladiti sa njom</w:t>
      </w:r>
      <w:r w:rsidR="000D3CAA" w:rsidRPr="00C3483D">
        <w:rPr>
          <w:lang w:val="sr-Latn-RS"/>
        </w:rPr>
        <w:t>,</w:t>
      </w:r>
      <w:r w:rsidR="00F15FCF" w:rsidRPr="00C3483D">
        <w:rPr>
          <w:lang w:val="sr-Latn-RS"/>
        </w:rPr>
        <w:t xml:space="preserve"> kako bi </w:t>
      </w:r>
      <w:r w:rsidR="000D3CAA" w:rsidRPr="00C3483D">
        <w:rPr>
          <w:lang w:val="sr-Latn-RS"/>
        </w:rPr>
        <w:t xml:space="preserve">ona </w:t>
      </w:r>
      <w:r w:rsidR="00F15FCF" w:rsidRPr="00C3483D">
        <w:rPr>
          <w:lang w:val="sr-Latn-RS"/>
        </w:rPr>
        <w:t>dala dugoročno dobre rezultate. Ako to nij</w:t>
      </w:r>
      <w:r w:rsidR="000D3CAA" w:rsidRPr="00C3483D">
        <w:rPr>
          <w:lang w:val="sr-Latn-RS"/>
        </w:rPr>
        <w:t>e</w:t>
      </w:r>
      <w:r w:rsidR="00F15FCF" w:rsidRPr="00C3483D">
        <w:rPr>
          <w:lang w:val="sr-Latn-RS"/>
        </w:rPr>
        <w:t xml:space="preserve"> slučaj ocenjujemo da bi NBS tr</w:t>
      </w:r>
      <w:r w:rsidR="000D3CAA" w:rsidRPr="00C3483D">
        <w:rPr>
          <w:lang w:val="sr-Latn-RS"/>
        </w:rPr>
        <w:t>e</w:t>
      </w:r>
      <w:r w:rsidR="00F15FCF" w:rsidRPr="00C3483D">
        <w:rPr>
          <w:lang w:val="sr-Latn-RS"/>
        </w:rPr>
        <w:t>balo da poveća referentu kamat</w:t>
      </w:r>
      <w:r w:rsidR="000D3CAA" w:rsidRPr="00C3483D">
        <w:rPr>
          <w:lang w:val="sr-Latn-RS"/>
        </w:rPr>
        <w:t>nu</w:t>
      </w:r>
      <w:r w:rsidR="00F15FCF" w:rsidRPr="00C3483D">
        <w:rPr>
          <w:lang w:val="sr-Latn-RS"/>
        </w:rPr>
        <w:t xml:space="preserve"> stopu</w:t>
      </w:r>
      <w:r w:rsidR="002C5B58" w:rsidRPr="00C3483D">
        <w:rPr>
          <w:lang w:val="sr-Latn-RS"/>
        </w:rPr>
        <w:t>,</w:t>
      </w:r>
      <w:r w:rsidR="00F15FCF" w:rsidRPr="00C3483D">
        <w:rPr>
          <w:lang w:val="sr-Latn-RS"/>
        </w:rPr>
        <w:t xml:space="preserve"> kao što je to uradil</w:t>
      </w:r>
      <w:r w:rsidR="000D3CAA" w:rsidRPr="00C3483D">
        <w:rPr>
          <w:lang w:val="sr-Latn-RS"/>
        </w:rPr>
        <w:t>a</w:t>
      </w:r>
      <w:r w:rsidR="00F15FCF" w:rsidRPr="00C3483D">
        <w:rPr>
          <w:lang w:val="sr-Latn-RS"/>
        </w:rPr>
        <w:t xml:space="preserve"> većin</w:t>
      </w:r>
      <w:r w:rsidR="000D3CAA" w:rsidRPr="00C3483D">
        <w:rPr>
          <w:lang w:val="sr-Latn-RS"/>
        </w:rPr>
        <w:t>a</w:t>
      </w:r>
      <w:r w:rsidR="00F15FCF" w:rsidRPr="00C3483D">
        <w:rPr>
          <w:lang w:val="sr-Latn-RS"/>
        </w:rPr>
        <w:t xml:space="preserve"> centr</w:t>
      </w:r>
      <w:r w:rsidR="000D3CAA" w:rsidRPr="00C3483D">
        <w:rPr>
          <w:lang w:val="sr-Latn-RS"/>
        </w:rPr>
        <w:t>a</w:t>
      </w:r>
      <w:r w:rsidR="00F15FCF" w:rsidRPr="00C3483D">
        <w:rPr>
          <w:lang w:val="sr-Latn-RS"/>
        </w:rPr>
        <w:t>lnih banak</w:t>
      </w:r>
      <w:r w:rsidR="000D3CAA" w:rsidRPr="00C3483D">
        <w:rPr>
          <w:lang w:val="sr-Latn-RS"/>
        </w:rPr>
        <w:t>a</w:t>
      </w:r>
      <w:r w:rsidR="00F15FCF" w:rsidRPr="00C3483D">
        <w:rPr>
          <w:lang w:val="sr-Latn-RS"/>
        </w:rPr>
        <w:t xml:space="preserve"> u Evropi.   </w:t>
      </w:r>
      <w:r w:rsidR="009F5DC3" w:rsidRPr="00C3483D">
        <w:rPr>
          <w:lang w:val="sr-Latn-RS"/>
        </w:rPr>
        <w:t xml:space="preserve"> </w:t>
      </w:r>
    </w:p>
    <w:p w:rsidR="009F5DC3" w:rsidRPr="00C3483D" w:rsidRDefault="009F5DC3" w:rsidP="002017BB">
      <w:pPr>
        <w:rPr>
          <w:lang w:val="sr-Latn-RS"/>
        </w:rPr>
      </w:pPr>
    </w:p>
    <w:p w:rsidR="000A328F" w:rsidRPr="00C3483D" w:rsidRDefault="000A328F" w:rsidP="000A358B">
      <w:pPr>
        <w:jc w:val="both"/>
        <w:rPr>
          <w:i/>
          <w:lang w:val="sr-Latn-RS"/>
        </w:rPr>
      </w:pPr>
      <w:r w:rsidRPr="00C3483D">
        <w:rPr>
          <w:i/>
          <w:lang w:val="sr-Latn-RS"/>
        </w:rPr>
        <w:t>„Kvartalni monitor“ je publikacija u izdanju Ekonomskog fakulteta u Beogradu i FREN-a.</w:t>
      </w:r>
      <w:r w:rsidR="000A358B" w:rsidRPr="00C3483D">
        <w:rPr>
          <w:i/>
          <w:lang w:val="sr-Latn-RS"/>
        </w:rPr>
        <w:t xml:space="preserve"> </w:t>
      </w:r>
    </w:p>
    <w:p w:rsidR="00CB1431" w:rsidRPr="00C3483D" w:rsidRDefault="00CB1431" w:rsidP="00CB1431">
      <w:pPr>
        <w:jc w:val="both"/>
        <w:rPr>
          <w:color w:val="000000"/>
          <w:lang w:val="sr-Latn-RS"/>
        </w:rPr>
      </w:pPr>
    </w:p>
    <w:p w:rsidR="00CB1431" w:rsidRPr="00C3483D" w:rsidRDefault="00CB1431" w:rsidP="000A358B">
      <w:pPr>
        <w:jc w:val="both"/>
        <w:rPr>
          <w:lang w:val="sr-Latn-RS"/>
        </w:rPr>
      </w:pPr>
    </w:p>
    <w:p w:rsidR="00EE2092" w:rsidRPr="00C3483D" w:rsidRDefault="00EE2092" w:rsidP="000A358B">
      <w:pPr>
        <w:jc w:val="both"/>
        <w:rPr>
          <w:lang w:val="sr-Latn-RS"/>
        </w:rPr>
      </w:pPr>
    </w:p>
    <w:p w:rsidR="00EE2092" w:rsidRPr="00C3483D" w:rsidRDefault="00EE2092" w:rsidP="000A358B">
      <w:pPr>
        <w:jc w:val="both"/>
        <w:rPr>
          <w:lang w:val="sr-Latn-RS"/>
        </w:rPr>
      </w:pPr>
    </w:p>
    <w:p w:rsidR="00EE2092" w:rsidRPr="00C3483D" w:rsidRDefault="00EE2092" w:rsidP="000A358B">
      <w:pPr>
        <w:jc w:val="both"/>
        <w:rPr>
          <w:lang w:val="sr-Latn-RS"/>
        </w:rPr>
      </w:pPr>
    </w:p>
    <w:p w:rsidR="00EE2092" w:rsidRPr="00C3483D" w:rsidRDefault="00EE2092" w:rsidP="000A358B">
      <w:pPr>
        <w:jc w:val="both"/>
        <w:rPr>
          <w:lang w:val="sr-Latn-RS"/>
        </w:rPr>
      </w:pPr>
    </w:p>
    <w:p w:rsidR="00EE2092" w:rsidRPr="00C3483D" w:rsidRDefault="00EE2092" w:rsidP="000A358B">
      <w:pPr>
        <w:jc w:val="both"/>
        <w:rPr>
          <w:lang w:val="sr-Latn-RS"/>
        </w:rPr>
      </w:pPr>
    </w:p>
    <w:p w:rsidR="00EE2092" w:rsidRPr="00C3483D" w:rsidRDefault="00EE2092" w:rsidP="000A358B">
      <w:pPr>
        <w:jc w:val="both"/>
        <w:rPr>
          <w:lang w:val="sr-Latn-RS"/>
        </w:rPr>
      </w:pPr>
    </w:p>
    <w:p w:rsidR="00EE2092" w:rsidRPr="00C3483D" w:rsidRDefault="00EE2092" w:rsidP="000A358B">
      <w:pPr>
        <w:jc w:val="both"/>
        <w:rPr>
          <w:lang w:val="sr-Latn-RS"/>
        </w:rPr>
      </w:pPr>
    </w:p>
    <w:p w:rsidR="00EE2092" w:rsidRPr="00C3483D" w:rsidRDefault="00EE2092" w:rsidP="000A358B">
      <w:pPr>
        <w:jc w:val="both"/>
        <w:rPr>
          <w:lang w:val="sr-Latn-RS"/>
        </w:rPr>
      </w:pPr>
    </w:p>
    <w:p w:rsidR="00EE2092" w:rsidRPr="00C3483D" w:rsidRDefault="00EE2092" w:rsidP="000A358B">
      <w:pPr>
        <w:jc w:val="both"/>
        <w:rPr>
          <w:lang w:val="sr-Latn-RS"/>
        </w:rPr>
      </w:pPr>
    </w:p>
    <w:p w:rsidR="00EE2092" w:rsidRPr="00C3483D" w:rsidRDefault="00EE2092" w:rsidP="000A358B">
      <w:pPr>
        <w:jc w:val="both"/>
        <w:rPr>
          <w:lang w:val="sr-Latn-RS"/>
        </w:rPr>
      </w:pPr>
    </w:p>
    <w:p w:rsidR="00EE2092" w:rsidRPr="00C3483D" w:rsidRDefault="00EE2092" w:rsidP="000A358B">
      <w:pPr>
        <w:jc w:val="both"/>
        <w:rPr>
          <w:lang w:val="sr-Latn-RS"/>
        </w:rPr>
      </w:pPr>
    </w:p>
    <w:sectPr w:rsidR="00EE2092" w:rsidRPr="00C3483D" w:rsidSect="006D20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5C14"/>
    <w:multiLevelType w:val="hybridMultilevel"/>
    <w:tmpl w:val="878A2CF6"/>
    <w:lvl w:ilvl="0" w:tplc="5B7C2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0465C">
      <w:start w:val="9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81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24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4C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A1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21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0E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86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A76701"/>
    <w:multiLevelType w:val="hybridMultilevel"/>
    <w:tmpl w:val="A0823AD0"/>
    <w:lvl w:ilvl="0" w:tplc="B57865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8F260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61AA0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DB005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FE48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EB6A1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42A02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D419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9A05F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DE53BBD"/>
    <w:multiLevelType w:val="hybridMultilevel"/>
    <w:tmpl w:val="00EEE5F4"/>
    <w:lvl w:ilvl="0" w:tplc="843C7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E3EAA">
      <w:start w:val="12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AD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44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08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C1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66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A3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A4E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9A600D"/>
    <w:multiLevelType w:val="hybridMultilevel"/>
    <w:tmpl w:val="4D16D584"/>
    <w:lvl w:ilvl="0" w:tplc="B0A8C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0C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EB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E3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80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2B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A5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A1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74F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A328F"/>
    <w:rsid w:val="00002155"/>
    <w:rsid w:val="00031870"/>
    <w:rsid w:val="000333BA"/>
    <w:rsid w:val="00084886"/>
    <w:rsid w:val="000912A0"/>
    <w:rsid w:val="000A0001"/>
    <w:rsid w:val="000A328F"/>
    <w:rsid w:val="000A358B"/>
    <w:rsid w:val="000A397E"/>
    <w:rsid w:val="000C1F2D"/>
    <w:rsid w:val="000C2D63"/>
    <w:rsid w:val="000D0D2D"/>
    <w:rsid w:val="000D3CAA"/>
    <w:rsid w:val="00143F9E"/>
    <w:rsid w:val="001860A4"/>
    <w:rsid w:val="001979CB"/>
    <w:rsid w:val="001A70A9"/>
    <w:rsid w:val="001C1ACB"/>
    <w:rsid w:val="001C2129"/>
    <w:rsid w:val="001C235E"/>
    <w:rsid w:val="001C5884"/>
    <w:rsid w:val="001D272B"/>
    <w:rsid w:val="001D289B"/>
    <w:rsid w:val="001D2AB2"/>
    <w:rsid w:val="001D4C19"/>
    <w:rsid w:val="001E0F05"/>
    <w:rsid w:val="001E7031"/>
    <w:rsid w:val="001F168D"/>
    <w:rsid w:val="001F54B1"/>
    <w:rsid w:val="00201582"/>
    <w:rsid w:val="002017BB"/>
    <w:rsid w:val="00234EB4"/>
    <w:rsid w:val="00244E91"/>
    <w:rsid w:val="00254B88"/>
    <w:rsid w:val="002638D5"/>
    <w:rsid w:val="0026696F"/>
    <w:rsid w:val="002716CB"/>
    <w:rsid w:val="002A3619"/>
    <w:rsid w:val="002C10E5"/>
    <w:rsid w:val="002C5B58"/>
    <w:rsid w:val="002C68AA"/>
    <w:rsid w:val="0031053E"/>
    <w:rsid w:val="00317EFC"/>
    <w:rsid w:val="00343F46"/>
    <w:rsid w:val="00355CC2"/>
    <w:rsid w:val="00363D30"/>
    <w:rsid w:val="003B2C5E"/>
    <w:rsid w:val="003B5BAD"/>
    <w:rsid w:val="003C507A"/>
    <w:rsid w:val="003C6B17"/>
    <w:rsid w:val="003F04EA"/>
    <w:rsid w:val="003F7B1A"/>
    <w:rsid w:val="004158DE"/>
    <w:rsid w:val="004176AD"/>
    <w:rsid w:val="004179C8"/>
    <w:rsid w:val="004448DB"/>
    <w:rsid w:val="00444DFF"/>
    <w:rsid w:val="004563E1"/>
    <w:rsid w:val="00457BB8"/>
    <w:rsid w:val="00482B99"/>
    <w:rsid w:val="00483235"/>
    <w:rsid w:val="004B669C"/>
    <w:rsid w:val="004B7E18"/>
    <w:rsid w:val="004C6DF0"/>
    <w:rsid w:val="004F46B2"/>
    <w:rsid w:val="00514B74"/>
    <w:rsid w:val="00524B0A"/>
    <w:rsid w:val="00534910"/>
    <w:rsid w:val="00561F2F"/>
    <w:rsid w:val="00582F3D"/>
    <w:rsid w:val="005845C8"/>
    <w:rsid w:val="00593270"/>
    <w:rsid w:val="00595FC6"/>
    <w:rsid w:val="0059798C"/>
    <w:rsid w:val="005B0CE7"/>
    <w:rsid w:val="005C3804"/>
    <w:rsid w:val="005E273C"/>
    <w:rsid w:val="00614EFE"/>
    <w:rsid w:val="006435B7"/>
    <w:rsid w:val="00644905"/>
    <w:rsid w:val="006453F9"/>
    <w:rsid w:val="00670101"/>
    <w:rsid w:val="00674B22"/>
    <w:rsid w:val="00677717"/>
    <w:rsid w:val="006A0FC6"/>
    <w:rsid w:val="006A27A7"/>
    <w:rsid w:val="006A498C"/>
    <w:rsid w:val="006B2678"/>
    <w:rsid w:val="006C6DB2"/>
    <w:rsid w:val="006D2095"/>
    <w:rsid w:val="006D66CE"/>
    <w:rsid w:val="0070734D"/>
    <w:rsid w:val="00715FE0"/>
    <w:rsid w:val="00733C98"/>
    <w:rsid w:val="00740FB7"/>
    <w:rsid w:val="0074715D"/>
    <w:rsid w:val="0075072F"/>
    <w:rsid w:val="0078462D"/>
    <w:rsid w:val="007A2D7F"/>
    <w:rsid w:val="007D3D08"/>
    <w:rsid w:val="007E6340"/>
    <w:rsid w:val="00803916"/>
    <w:rsid w:val="00805BE4"/>
    <w:rsid w:val="00817EDE"/>
    <w:rsid w:val="00830BCD"/>
    <w:rsid w:val="00833158"/>
    <w:rsid w:val="00880092"/>
    <w:rsid w:val="00886DD8"/>
    <w:rsid w:val="008D2959"/>
    <w:rsid w:val="00902ABF"/>
    <w:rsid w:val="0090300E"/>
    <w:rsid w:val="00910BD3"/>
    <w:rsid w:val="00913EFC"/>
    <w:rsid w:val="009260A4"/>
    <w:rsid w:val="00926498"/>
    <w:rsid w:val="00942457"/>
    <w:rsid w:val="00946743"/>
    <w:rsid w:val="00957824"/>
    <w:rsid w:val="00960218"/>
    <w:rsid w:val="0096463A"/>
    <w:rsid w:val="00971D25"/>
    <w:rsid w:val="00974B55"/>
    <w:rsid w:val="0098046B"/>
    <w:rsid w:val="00986C43"/>
    <w:rsid w:val="00987AD8"/>
    <w:rsid w:val="00995D26"/>
    <w:rsid w:val="009A6346"/>
    <w:rsid w:val="009B5B89"/>
    <w:rsid w:val="009B7AB1"/>
    <w:rsid w:val="009E4080"/>
    <w:rsid w:val="009E4995"/>
    <w:rsid w:val="009F5DC3"/>
    <w:rsid w:val="00A00DB8"/>
    <w:rsid w:val="00A07146"/>
    <w:rsid w:val="00A12E51"/>
    <w:rsid w:val="00A17554"/>
    <w:rsid w:val="00A256E1"/>
    <w:rsid w:val="00A500C7"/>
    <w:rsid w:val="00A537C6"/>
    <w:rsid w:val="00A60A29"/>
    <w:rsid w:val="00A74553"/>
    <w:rsid w:val="00A83456"/>
    <w:rsid w:val="00A8622F"/>
    <w:rsid w:val="00AB0717"/>
    <w:rsid w:val="00AC6E17"/>
    <w:rsid w:val="00AF2010"/>
    <w:rsid w:val="00B02C65"/>
    <w:rsid w:val="00B072E2"/>
    <w:rsid w:val="00B67D9F"/>
    <w:rsid w:val="00B70A79"/>
    <w:rsid w:val="00B72D8D"/>
    <w:rsid w:val="00B91FF2"/>
    <w:rsid w:val="00B953D0"/>
    <w:rsid w:val="00BB3727"/>
    <w:rsid w:val="00BD1D88"/>
    <w:rsid w:val="00C30041"/>
    <w:rsid w:val="00C3483D"/>
    <w:rsid w:val="00C4033B"/>
    <w:rsid w:val="00C42884"/>
    <w:rsid w:val="00C44D10"/>
    <w:rsid w:val="00C502CD"/>
    <w:rsid w:val="00C50324"/>
    <w:rsid w:val="00C50FB5"/>
    <w:rsid w:val="00C52146"/>
    <w:rsid w:val="00C567D3"/>
    <w:rsid w:val="00C65189"/>
    <w:rsid w:val="00C7609D"/>
    <w:rsid w:val="00C829B1"/>
    <w:rsid w:val="00CB1431"/>
    <w:rsid w:val="00CB56EB"/>
    <w:rsid w:val="00CD4284"/>
    <w:rsid w:val="00CE2B39"/>
    <w:rsid w:val="00D03C57"/>
    <w:rsid w:val="00D34E7D"/>
    <w:rsid w:val="00D45CA9"/>
    <w:rsid w:val="00D56555"/>
    <w:rsid w:val="00D5721E"/>
    <w:rsid w:val="00D657B5"/>
    <w:rsid w:val="00D84D2F"/>
    <w:rsid w:val="00D85737"/>
    <w:rsid w:val="00D86BE0"/>
    <w:rsid w:val="00DC6656"/>
    <w:rsid w:val="00DD34C0"/>
    <w:rsid w:val="00DD55A5"/>
    <w:rsid w:val="00DF62F4"/>
    <w:rsid w:val="00E035BC"/>
    <w:rsid w:val="00E113D5"/>
    <w:rsid w:val="00E13388"/>
    <w:rsid w:val="00E80C5A"/>
    <w:rsid w:val="00EA25B1"/>
    <w:rsid w:val="00EB6F3F"/>
    <w:rsid w:val="00ED060A"/>
    <w:rsid w:val="00EE2092"/>
    <w:rsid w:val="00F15FCF"/>
    <w:rsid w:val="00F27FB7"/>
    <w:rsid w:val="00F42CDA"/>
    <w:rsid w:val="00F44C01"/>
    <w:rsid w:val="00F50280"/>
    <w:rsid w:val="00F52E3C"/>
    <w:rsid w:val="00F94053"/>
    <w:rsid w:val="00FA35E9"/>
    <w:rsid w:val="00FA4C48"/>
    <w:rsid w:val="00FB4AF2"/>
    <w:rsid w:val="00FD5A65"/>
    <w:rsid w:val="00FF2C6A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E1FE4-1277-4943-8AC7-037D180D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28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28F"/>
    <w:pPr>
      <w:keepNext/>
      <w:keepLines/>
      <w:widowControl/>
      <w:suppressAutoHyphens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2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40FB7"/>
    <w:pPr>
      <w:widowControl/>
      <w:suppressAutoHyphens w:val="0"/>
      <w:ind w:left="720"/>
      <w:contextualSpacing/>
    </w:pPr>
    <w:rPr>
      <w:rFonts w:eastAsia="Times New Roman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28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7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5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7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9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4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8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5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3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9B415-593E-430D-BAC7-F9AA99B1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Milojko Arsic</dc:creator>
  <cp:lastModifiedBy>HP</cp:lastModifiedBy>
  <cp:revision>8</cp:revision>
  <cp:lastPrinted>2022-03-21T18:01:00Z</cp:lastPrinted>
  <dcterms:created xsi:type="dcterms:W3CDTF">2022-03-21T15:06:00Z</dcterms:created>
  <dcterms:modified xsi:type="dcterms:W3CDTF">2022-03-21T20:42:00Z</dcterms:modified>
</cp:coreProperties>
</file>