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C954" w14:textId="77777777" w:rsidR="00B15028" w:rsidRPr="009D0BAB" w:rsidRDefault="00B15028" w:rsidP="00C06E4F">
      <w:pPr>
        <w:rPr>
          <w:rFonts w:ascii="Times New Roman" w:eastAsia="Calibri" w:hAnsi="Times New Roman"/>
          <w:lang w:val="sr-Latn-RS"/>
        </w:rPr>
      </w:pPr>
      <w:r w:rsidRPr="009D0BAB">
        <w:rPr>
          <w:rFonts w:ascii="Times New Roman" w:eastAsia="Calibri" w:hAnsi="Times New Roman"/>
          <w:lang w:val="sr-Latn-RS"/>
        </w:rPr>
        <w:t>Svetozar Tanasković</w:t>
      </w:r>
      <w:r w:rsidR="00070889" w:rsidRPr="009D0BAB">
        <w:rPr>
          <w:rStyle w:val="FootnoteReference"/>
          <w:rFonts w:ascii="Times New Roman" w:eastAsia="Calibri" w:hAnsi="Times New Roman"/>
          <w:lang w:val="sr-Latn-RS"/>
        </w:rPr>
        <w:footnoteReference w:id="1"/>
      </w:r>
    </w:p>
    <w:p w14:paraId="12D65A4F" w14:textId="77777777" w:rsidR="00C06E4F" w:rsidRPr="009D0BAB" w:rsidRDefault="00C06E4F" w:rsidP="00C06E4F">
      <w:pPr>
        <w:rPr>
          <w:rFonts w:ascii="Times New Roman" w:eastAsia="Calibri" w:hAnsi="Times New Roman"/>
          <w:lang w:val="sr-Latn-RS"/>
        </w:rPr>
      </w:pPr>
      <w:r w:rsidRPr="009D0BAB">
        <w:rPr>
          <w:rFonts w:ascii="Times New Roman" w:eastAsia="Calibri" w:hAnsi="Times New Roman"/>
          <w:lang w:val="sr-Latn-RS"/>
        </w:rPr>
        <w:t>Bojan Ristić</w:t>
      </w:r>
      <w:r w:rsidRPr="009D0BAB">
        <w:rPr>
          <w:rStyle w:val="FootnoteReference"/>
          <w:rFonts w:ascii="Times New Roman" w:eastAsia="Calibri" w:hAnsi="Times New Roman"/>
          <w:lang w:val="sr-Latn-RS"/>
        </w:rPr>
        <w:footnoteReference w:id="2"/>
      </w:r>
    </w:p>
    <w:p w14:paraId="4453446B" w14:textId="77777777" w:rsidR="00C06E4F" w:rsidRPr="009D0BAB" w:rsidRDefault="00C06E4F" w:rsidP="00C06E4F">
      <w:pPr>
        <w:jc w:val="center"/>
        <w:rPr>
          <w:rFonts w:ascii="Times New Roman" w:eastAsia="Calibri" w:hAnsi="Times New Roman"/>
          <w:b/>
          <w:i/>
          <w:lang w:val="sr-Latn-RS"/>
        </w:rPr>
      </w:pPr>
    </w:p>
    <w:p w14:paraId="49748DCB" w14:textId="741077BC" w:rsidR="00C06E4F" w:rsidRPr="009D0BAB" w:rsidRDefault="00C06E4F" w:rsidP="00C06E4F">
      <w:pPr>
        <w:jc w:val="center"/>
        <w:rPr>
          <w:rFonts w:ascii="Times New Roman" w:eastAsia="Calibri" w:hAnsi="Times New Roman"/>
          <w:b/>
          <w:i/>
          <w:sz w:val="36"/>
          <w:lang w:val="sr-Latn-RS"/>
        </w:rPr>
      </w:pPr>
      <w:r w:rsidRPr="009D0BAB">
        <w:rPr>
          <w:rFonts w:ascii="Times New Roman" w:eastAsia="Calibri" w:hAnsi="Times New Roman"/>
          <w:b/>
          <w:i/>
          <w:sz w:val="36"/>
          <w:lang w:val="sr-Latn-RS"/>
        </w:rPr>
        <w:t xml:space="preserve">Konkurentska pozicija Srbija u </w:t>
      </w:r>
      <w:r w:rsidRPr="009D0BAB">
        <w:rPr>
          <w:rFonts w:ascii="Times New Roman" w:eastAsia="Calibri" w:hAnsi="Times New Roman"/>
          <w:b/>
          <w:sz w:val="36"/>
          <w:lang w:val="sr-Latn-RS"/>
        </w:rPr>
        <w:t>201</w:t>
      </w:r>
      <w:r w:rsidR="00581B9C" w:rsidRPr="009D0BAB">
        <w:rPr>
          <w:rFonts w:ascii="Times New Roman" w:eastAsia="Calibri" w:hAnsi="Times New Roman"/>
          <w:b/>
          <w:sz w:val="36"/>
          <w:lang w:val="sr-Latn-RS"/>
        </w:rPr>
        <w:t>9</w:t>
      </w:r>
      <w:r w:rsidRPr="009D0BAB">
        <w:rPr>
          <w:rFonts w:ascii="Times New Roman" w:eastAsia="Calibri" w:hAnsi="Times New Roman"/>
          <w:b/>
          <w:sz w:val="36"/>
          <w:lang w:val="sr-Latn-RS"/>
        </w:rPr>
        <w:t>.</w:t>
      </w:r>
      <w:r w:rsidRPr="009D0BAB">
        <w:rPr>
          <w:rFonts w:ascii="Times New Roman" w:eastAsia="Calibri" w:hAnsi="Times New Roman"/>
          <w:b/>
          <w:i/>
          <w:sz w:val="36"/>
          <w:lang w:val="sr-Latn-RS"/>
        </w:rPr>
        <w:t xml:space="preserve"> godini prema </w:t>
      </w:r>
    </w:p>
    <w:p w14:paraId="1770852E" w14:textId="77777777" w:rsidR="00C06E4F" w:rsidRPr="009D0BAB" w:rsidRDefault="00C06E4F" w:rsidP="00C06E4F">
      <w:pPr>
        <w:jc w:val="center"/>
        <w:rPr>
          <w:rFonts w:ascii="Times New Roman" w:eastAsia="Calibri" w:hAnsi="Times New Roman"/>
          <w:b/>
          <w:i/>
          <w:sz w:val="36"/>
          <w:lang w:val="sr-Latn-RS"/>
        </w:rPr>
      </w:pPr>
      <w:r w:rsidRPr="009D0BAB">
        <w:rPr>
          <w:rFonts w:ascii="Times New Roman" w:eastAsia="Calibri" w:hAnsi="Times New Roman"/>
          <w:b/>
          <w:i/>
          <w:sz w:val="36"/>
          <w:lang w:val="sr-Latn-RS"/>
        </w:rPr>
        <w:t>Izveštaju Svetskog ekonomskog foruma</w:t>
      </w:r>
    </w:p>
    <w:p w14:paraId="52B206C8" w14:textId="77777777" w:rsidR="00C06E4F" w:rsidRPr="009D0BAB" w:rsidRDefault="00C06E4F" w:rsidP="00C06E4F">
      <w:pPr>
        <w:jc w:val="both"/>
        <w:rPr>
          <w:rFonts w:ascii="Times New Roman" w:eastAsia="Calibri" w:hAnsi="Times New Roman"/>
          <w:b/>
          <w:lang w:val="sr-Latn-RS"/>
        </w:rPr>
      </w:pPr>
    </w:p>
    <w:p w14:paraId="2E227660" w14:textId="75DD5EF9" w:rsidR="00B50126" w:rsidRDefault="008E0F0C" w:rsidP="00F71D3C">
      <w:pPr>
        <w:ind w:firstLine="708"/>
        <w:jc w:val="both"/>
        <w:rPr>
          <w:rFonts w:ascii="Times New Roman" w:eastAsia="Calibri" w:hAnsi="Times New Roman"/>
          <w:lang w:val="sr-Latn-RS"/>
        </w:rPr>
      </w:pPr>
      <w:r w:rsidRPr="009D0BAB">
        <w:rPr>
          <w:rFonts w:ascii="Times New Roman" w:eastAsia="Calibri" w:hAnsi="Times New Roman"/>
          <w:lang w:val="sr-Latn-RS"/>
        </w:rPr>
        <w:t>Fondacija za razvoj ekonomske nauke (FREN), kao lokalni partner Svetskog ekonomskog foruma (SEF), ovom sažetom studijom ima za cilj da prikaže poziciju Srbije prema dostignu</w:t>
      </w:r>
      <w:r w:rsidR="004757EC" w:rsidRPr="009D0BAB">
        <w:rPr>
          <w:rFonts w:ascii="Times New Roman" w:eastAsia="Calibri" w:hAnsi="Times New Roman"/>
          <w:lang w:val="sr-Latn-RS"/>
        </w:rPr>
        <w:t>tom nivou konkurentnosti za 2019</w:t>
      </w:r>
      <w:r w:rsidR="00C56B11" w:rsidRPr="009D0BAB">
        <w:rPr>
          <w:rFonts w:ascii="Times New Roman" w:eastAsia="Calibri" w:hAnsi="Times New Roman"/>
          <w:lang w:val="sr-Latn-RS"/>
        </w:rPr>
        <w:t>. godinu na osnovu novog revidiranog indeksa globalne konkurentnosti IGK v4.0</w:t>
      </w:r>
      <w:r w:rsidRPr="009D0BAB">
        <w:rPr>
          <w:rFonts w:ascii="Times New Roman" w:eastAsia="Calibri" w:hAnsi="Times New Roman"/>
          <w:lang w:val="sr-Latn-RS"/>
        </w:rPr>
        <w:t xml:space="preserve">. </w:t>
      </w:r>
      <w:r w:rsidR="002112B6" w:rsidRPr="009D0BAB">
        <w:rPr>
          <w:rFonts w:ascii="Times New Roman" w:eastAsia="Calibri" w:hAnsi="Times New Roman"/>
          <w:lang w:val="sr-Latn-RS"/>
        </w:rPr>
        <w:t xml:space="preserve">Izveštaj o globalnoj konkurentnosti prvi put prezentovan 1979. godine, pruža uvid u procenu osnovnih pokretača produktivnosti i dugoročnog privrednog rasta. Na osnovu poslednjeg </w:t>
      </w:r>
      <w:r w:rsidR="009D0BAB" w:rsidRPr="009D0BAB">
        <w:rPr>
          <w:rFonts w:ascii="Times New Roman" w:eastAsia="Calibri" w:hAnsi="Times New Roman"/>
          <w:lang w:val="sr-Latn-RS"/>
        </w:rPr>
        <w:t>izveštaja</w:t>
      </w:r>
      <w:r w:rsidR="002112B6" w:rsidRPr="009D0BAB">
        <w:rPr>
          <w:rFonts w:ascii="Times New Roman" w:eastAsia="Calibri" w:hAnsi="Times New Roman"/>
          <w:lang w:val="sr-Latn-RS"/>
        </w:rPr>
        <w:t xml:space="preserve"> p</w:t>
      </w:r>
      <w:r w:rsidRPr="009D0BAB">
        <w:rPr>
          <w:rFonts w:ascii="Times New Roman" w:eastAsia="Calibri" w:hAnsi="Times New Roman"/>
          <w:lang w:val="sr-Latn-RS"/>
        </w:rPr>
        <w:t xml:space="preserve">ozicija Srbije će biti analizirana u odnosu na zemlje iz njenog neposrednog okruženja, ali i na osnovu faktora koji su </w:t>
      </w:r>
      <w:r w:rsidR="000A1E36" w:rsidRPr="009D0BAB">
        <w:rPr>
          <w:rFonts w:ascii="Times New Roman" w:eastAsia="Calibri" w:hAnsi="Times New Roman"/>
          <w:lang w:val="sr-Latn-RS"/>
        </w:rPr>
        <w:t xml:space="preserve">doveli do promene u indeksu i rangu </w:t>
      </w:r>
      <w:r w:rsidR="00C56B11" w:rsidRPr="009D0BAB">
        <w:rPr>
          <w:rFonts w:ascii="Times New Roman" w:eastAsia="Calibri" w:hAnsi="Times New Roman"/>
          <w:lang w:val="sr-Latn-RS"/>
        </w:rPr>
        <w:t xml:space="preserve">u odnosu na prethodnu godinu </w:t>
      </w:r>
      <w:r w:rsidR="000A1E36" w:rsidRPr="009D0BAB">
        <w:rPr>
          <w:rFonts w:ascii="Times New Roman" w:eastAsia="Calibri" w:hAnsi="Times New Roman"/>
          <w:lang w:val="sr-Latn-RS"/>
        </w:rPr>
        <w:t xml:space="preserve">i tako </w:t>
      </w:r>
      <w:r w:rsidRPr="009D0BAB">
        <w:rPr>
          <w:rFonts w:ascii="Times New Roman" w:eastAsia="Calibri" w:hAnsi="Times New Roman"/>
          <w:lang w:val="sr-Latn-RS"/>
        </w:rPr>
        <w:t>uticali na postizanje aktuelne pozicije Srbije. U dodatku na kraju ov</w:t>
      </w:r>
      <w:r w:rsidR="00C56B11" w:rsidRPr="009D0BAB">
        <w:rPr>
          <w:rFonts w:ascii="Times New Roman" w:eastAsia="Calibri" w:hAnsi="Times New Roman"/>
          <w:lang w:val="sr-Latn-RS"/>
        </w:rPr>
        <w:t xml:space="preserve">e analize nalazi se objašnjenje inoviranog metoda na osnovu kojeg se od </w:t>
      </w:r>
      <w:r w:rsidR="00A36983">
        <w:rPr>
          <w:rFonts w:ascii="Times New Roman" w:eastAsia="Calibri" w:hAnsi="Times New Roman"/>
          <w:lang w:val="sr-Latn-RS"/>
        </w:rPr>
        <w:t>2018.</w:t>
      </w:r>
      <w:r w:rsidR="00C56B11" w:rsidRPr="009D0BAB">
        <w:rPr>
          <w:rFonts w:ascii="Times New Roman" w:eastAsia="Calibri" w:hAnsi="Times New Roman"/>
          <w:lang w:val="sr-Latn-RS"/>
        </w:rPr>
        <w:t xml:space="preserve"> godine </w:t>
      </w:r>
      <w:r w:rsidRPr="009D0BAB">
        <w:rPr>
          <w:rFonts w:ascii="Times New Roman" w:eastAsia="Calibri" w:hAnsi="Times New Roman"/>
          <w:lang w:val="sr-Latn-RS"/>
        </w:rPr>
        <w:t xml:space="preserve">formira Indeks globalne konkurentnosti (IGK) </w:t>
      </w:r>
      <w:r w:rsidR="00C56B11" w:rsidRPr="009D0BAB">
        <w:rPr>
          <w:rFonts w:ascii="Times New Roman" w:eastAsia="Calibri" w:hAnsi="Times New Roman"/>
          <w:lang w:val="sr-Latn-RS"/>
        </w:rPr>
        <w:t xml:space="preserve">i </w:t>
      </w:r>
      <w:r w:rsidR="000A1E36" w:rsidRPr="009D0BAB">
        <w:rPr>
          <w:rFonts w:ascii="Times New Roman" w:eastAsia="Calibri" w:hAnsi="Times New Roman"/>
          <w:lang w:val="sr-Latn-RS"/>
        </w:rPr>
        <w:t>na bazi kojeg</w:t>
      </w:r>
      <w:r w:rsidRPr="009D0BAB">
        <w:rPr>
          <w:rFonts w:ascii="Times New Roman" w:eastAsia="Calibri" w:hAnsi="Times New Roman"/>
          <w:lang w:val="sr-Latn-RS"/>
        </w:rPr>
        <w:t xml:space="preserve"> se vrši rangiranje, šta je to konkurentnost zemlje i šta su najčešće nedoumice kad je termin „konkurentnost“ u pitanju.</w:t>
      </w:r>
    </w:p>
    <w:p w14:paraId="48915C5C" w14:textId="116ED5E9" w:rsidR="00F71D3C" w:rsidRDefault="00F71D3C" w:rsidP="00F71D3C">
      <w:pPr>
        <w:ind w:firstLine="708"/>
        <w:jc w:val="both"/>
        <w:rPr>
          <w:rFonts w:ascii="Times New Roman" w:eastAsia="Calibri" w:hAnsi="Times New Roman"/>
          <w:b/>
          <w:lang w:val="sr-Latn-RS"/>
        </w:rPr>
      </w:pPr>
    </w:p>
    <w:p w14:paraId="64110F4E" w14:textId="77777777" w:rsidR="00F71D3C" w:rsidRPr="009D0BAB" w:rsidRDefault="00F71D3C" w:rsidP="00F71D3C">
      <w:pPr>
        <w:ind w:firstLine="708"/>
        <w:jc w:val="both"/>
        <w:rPr>
          <w:rFonts w:ascii="Times New Roman" w:eastAsia="Calibri" w:hAnsi="Times New Roman"/>
          <w:b/>
          <w:lang w:val="sr-Latn-RS"/>
        </w:rPr>
      </w:pPr>
    </w:p>
    <w:p w14:paraId="30924DA4" w14:textId="798BAE35" w:rsidR="00C56B11" w:rsidRPr="009D0BAB" w:rsidRDefault="00C56B11" w:rsidP="00C56B11">
      <w:pPr>
        <w:jc w:val="both"/>
        <w:rPr>
          <w:rFonts w:ascii="Times New Roman" w:eastAsia="Calibri" w:hAnsi="Times New Roman"/>
          <w:b/>
          <w:i/>
          <w:sz w:val="28"/>
          <w:lang w:val="sr-Latn-RS"/>
        </w:rPr>
      </w:pPr>
      <w:r w:rsidRPr="009D0BAB">
        <w:rPr>
          <w:rFonts w:ascii="Times New Roman" w:eastAsia="Calibri" w:hAnsi="Times New Roman"/>
          <w:b/>
          <w:i/>
          <w:sz w:val="28"/>
          <w:lang w:val="sr-Latn-RS"/>
        </w:rPr>
        <w:t xml:space="preserve">Analiza konkurentnosti za </w:t>
      </w:r>
      <w:r w:rsidRPr="009D0BAB">
        <w:rPr>
          <w:rFonts w:ascii="Times New Roman" w:eastAsia="Calibri" w:hAnsi="Times New Roman"/>
          <w:b/>
          <w:sz w:val="28"/>
          <w:lang w:val="sr-Latn-RS"/>
        </w:rPr>
        <w:t>201</w:t>
      </w:r>
      <w:r w:rsidR="004757EC" w:rsidRPr="009D0BAB">
        <w:rPr>
          <w:rFonts w:ascii="Times New Roman" w:eastAsia="Calibri" w:hAnsi="Times New Roman"/>
          <w:b/>
          <w:sz w:val="28"/>
          <w:lang w:val="sr-Latn-RS"/>
        </w:rPr>
        <w:t>9</w:t>
      </w:r>
      <w:r w:rsidRPr="009D0BAB">
        <w:rPr>
          <w:rFonts w:ascii="Times New Roman" w:eastAsia="Calibri" w:hAnsi="Times New Roman"/>
          <w:b/>
          <w:sz w:val="28"/>
          <w:lang w:val="sr-Latn-RS"/>
        </w:rPr>
        <w:t>.</w:t>
      </w:r>
      <w:r w:rsidRPr="009D0BAB">
        <w:rPr>
          <w:rFonts w:ascii="Times New Roman" w:eastAsia="Calibri" w:hAnsi="Times New Roman"/>
          <w:b/>
          <w:i/>
          <w:sz w:val="28"/>
          <w:lang w:val="sr-Latn-RS"/>
        </w:rPr>
        <w:t xml:space="preserve"> godinu</w:t>
      </w:r>
    </w:p>
    <w:p w14:paraId="77B952A2" w14:textId="77777777" w:rsidR="00E5451B" w:rsidRPr="009D0BAB" w:rsidRDefault="00E5451B" w:rsidP="00F134F9">
      <w:pPr>
        <w:jc w:val="both"/>
        <w:rPr>
          <w:rFonts w:ascii="Times New Roman" w:eastAsia="Calibri" w:hAnsi="Times New Roman"/>
          <w:b/>
          <w:lang w:val="sr-Latn-RS"/>
        </w:rPr>
      </w:pPr>
    </w:p>
    <w:p w14:paraId="1BA40AB0" w14:textId="4C921159" w:rsidR="00903329" w:rsidRPr="009D0BAB" w:rsidRDefault="00E5451B" w:rsidP="00903329">
      <w:pPr>
        <w:jc w:val="both"/>
        <w:rPr>
          <w:rFonts w:ascii="Times New Roman" w:eastAsia="Calibri" w:hAnsi="Times New Roman"/>
          <w:sz w:val="22"/>
          <w:lang w:val="sr-Latn-RS"/>
        </w:rPr>
      </w:pPr>
      <w:r w:rsidRPr="009D0BAB">
        <w:rPr>
          <w:rFonts w:ascii="Times New Roman" w:eastAsia="Calibri" w:hAnsi="Times New Roman"/>
          <w:lang w:val="sr-Latn-RS"/>
        </w:rPr>
        <w:tab/>
        <w:t>Prema podacima</w:t>
      </w:r>
      <w:r w:rsidR="000A1E36" w:rsidRPr="009D0BAB">
        <w:rPr>
          <w:rFonts w:ascii="Times New Roman" w:eastAsia="Calibri" w:hAnsi="Times New Roman"/>
          <w:lang w:val="sr-Latn-RS"/>
        </w:rPr>
        <w:t xml:space="preserve"> iz</w:t>
      </w:r>
      <w:r w:rsidRPr="009D0BAB">
        <w:rPr>
          <w:rFonts w:ascii="Times New Roman" w:eastAsia="Calibri" w:hAnsi="Times New Roman"/>
          <w:lang w:val="sr-Latn-RS"/>
        </w:rPr>
        <w:t xml:space="preserve"> izveštaj</w:t>
      </w:r>
      <w:r w:rsidR="000A1E36" w:rsidRPr="009D0BAB">
        <w:rPr>
          <w:rFonts w:ascii="Times New Roman" w:eastAsia="Calibri" w:hAnsi="Times New Roman"/>
          <w:lang w:val="sr-Latn-RS"/>
        </w:rPr>
        <w:t>a</w:t>
      </w:r>
      <w:r w:rsidRPr="009D0BAB">
        <w:rPr>
          <w:rFonts w:ascii="Times New Roman" w:eastAsia="Calibri" w:hAnsi="Times New Roman"/>
          <w:lang w:val="sr-Latn-RS"/>
        </w:rPr>
        <w:t xml:space="preserve"> S</w:t>
      </w:r>
      <w:r w:rsidR="00C56B11" w:rsidRPr="009D0BAB">
        <w:rPr>
          <w:rFonts w:ascii="Times New Roman" w:eastAsia="Calibri" w:hAnsi="Times New Roman"/>
          <w:lang w:val="sr-Latn-RS"/>
        </w:rPr>
        <w:t>vetskog ekonomsko</w:t>
      </w:r>
      <w:r w:rsidR="000A1E36" w:rsidRPr="009D0BAB">
        <w:rPr>
          <w:rFonts w:ascii="Times New Roman" w:eastAsia="Calibri" w:hAnsi="Times New Roman"/>
          <w:lang w:val="sr-Latn-RS"/>
        </w:rPr>
        <w:t>g</w:t>
      </w:r>
      <w:r w:rsidR="00C56B11" w:rsidRPr="009D0BAB">
        <w:rPr>
          <w:rFonts w:ascii="Times New Roman" w:eastAsia="Calibri" w:hAnsi="Times New Roman"/>
          <w:lang w:val="sr-Latn-RS"/>
        </w:rPr>
        <w:t xml:space="preserve"> foruma u </w:t>
      </w:r>
      <w:r w:rsidR="00C56B11" w:rsidRPr="009D0BAB">
        <w:rPr>
          <w:rFonts w:ascii="Times New Roman" w:eastAsia="Calibri" w:hAnsi="Times New Roman"/>
          <w:b/>
          <w:lang w:val="sr-Latn-RS"/>
        </w:rPr>
        <w:t>201</w:t>
      </w:r>
      <w:r w:rsidR="004757EC" w:rsidRPr="009D0BAB">
        <w:rPr>
          <w:rFonts w:ascii="Times New Roman" w:eastAsia="Calibri" w:hAnsi="Times New Roman"/>
          <w:b/>
          <w:lang w:val="sr-Latn-RS"/>
        </w:rPr>
        <w:t>9</w:t>
      </w:r>
      <w:r w:rsidR="00C56B11" w:rsidRPr="009D0BAB">
        <w:rPr>
          <w:rFonts w:ascii="Times New Roman" w:eastAsia="Calibri" w:hAnsi="Times New Roman"/>
          <w:b/>
          <w:lang w:val="sr-Latn-RS"/>
        </w:rPr>
        <w:t>.</w:t>
      </w:r>
      <w:r w:rsidR="00C56B11" w:rsidRPr="009D0BAB">
        <w:rPr>
          <w:rFonts w:ascii="Times New Roman" w:eastAsia="Calibri" w:hAnsi="Times New Roman"/>
          <w:lang w:val="sr-Latn-RS"/>
        </w:rPr>
        <w:t xml:space="preserve"> godini Srbija je zauzela </w:t>
      </w:r>
      <w:r w:rsidR="004757EC" w:rsidRPr="009D0BAB">
        <w:rPr>
          <w:rFonts w:ascii="Times New Roman" w:eastAsia="Calibri" w:hAnsi="Times New Roman"/>
          <w:b/>
          <w:lang w:val="sr-Latn-RS"/>
        </w:rPr>
        <w:t>72</w:t>
      </w:r>
      <w:r w:rsidR="00C56B11" w:rsidRPr="009D0BAB">
        <w:rPr>
          <w:rFonts w:ascii="Times New Roman" w:eastAsia="Calibri" w:hAnsi="Times New Roman"/>
          <w:lang w:val="sr-Latn-RS"/>
        </w:rPr>
        <w:t>. poziciju</w:t>
      </w:r>
      <w:r w:rsidR="004757EC" w:rsidRPr="009D0BAB">
        <w:rPr>
          <w:rFonts w:ascii="Times New Roman" w:eastAsia="Calibri" w:hAnsi="Times New Roman"/>
          <w:lang w:val="sr-Latn-RS"/>
        </w:rPr>
        <w:t xml:space="preserve"> na rang listi koja obuhvata 141. zemlju</w:t>
      </w:r>
      <w:r w:rsidR="00C56B11" w:rsidRPr="009D0BAB">
        <w:rPr>
          <w:rFonts w:ascii="Times New Roman" w:eastAsia="Calibri" w:hAnsi="Times New Roman"/>
          <w:lang w:val="sr-Latn-RS"/>
        </w:rPr>
        <w:t xml:space="preserve"> sa zabeleženom vrednošću IGK od </w:t>
      </w:r>
      <w:r w:rsidR="00C56B11" w:rsidRPr="009D0BAB">
        <w:rPr>
          <w:rFonts w:ascii="Times New Roman" w:eastAsia="Calibri" w:hAnsi="Times New Roman"/>
          <w:b/>
          <w:lang w:val="sr-Latn-RS"/>
        </w:rPr>
        <w:t>60,9</w:t>
      </w:r>
      <w:r w:rsidR="00C56B11" w:rsidRPr="009D0BAB">
        <w:rPr>
          <w:rFonts w:ascii="Times New Roman" w:eastAsia="Calibri" w:hAnsi="Times New Roman"/>
          <w:lang w:val="sr-Latn-RS"/>
        </w:rPr>
        <w:t>.</w:t>
      </w:r>
      <w:r w:rsidR="004757EC" w:rsidRPr="009D0BAB">
        <w:rPr>
          <w:rFonts w:ascii="Times New Roman" w:eastAsia="Calibri" w:hAnsi="Times New Roman"/>
          <w:lang w:val="sr-Latn-RS"/>
        </w:rPr>
        <w:t xml:space="preserve"> Ostvarena vrednost IGK u ovoj godini je nepromenjena u odnosu na prethodnu ali usled napretka koji su ostvarile pojedine privrede (Južna Afrika, Hrvatska, Vijetnam, </w:t>
      </w:r>
      <w:r w:rsidR="005B18D0" w:rsidRPr="009D0BAB">
        <w:rPr>
          <w:rFonts w:ascii="Times New Roman" w:eastAsia="Calibri" w:hAnsi="Times New Roman"/>
          <w:lang w:val="sr-Latn-RS"/>
        </w:rPr>
        <w:t>Azerbejdžan, Jermenija, Brazil i Jordan</w:t>
      </w:r>
      <w:r w:rsidR="004757EC" w:rsidRPr="009D0BAB">
        <w:rPr>
          <w:rFonts w:ascii="Times New Roman" w:eastAsia="Calibri" w:hAnsi="Times New Roman"/>
          <w:lang w:val="sr-Latn-RS"/>
        </w:rPr>
        <w:t>) relativna pozicija Srbije na rang listi je pogoršana.</w:t>
      </w:r>
      <w:r w:rsidR="005B18D0" w:rsidRPr="009D0BAB">
        <w:rPr>
          <w:rFonts w:ascii="Times New Roman" w:eastAsia="Calibri" w:hAnsi="Times New Roman"/>
          <w:lang w:val="sr-Latn-RS"/>
        </w:rPr>
        <w:t xml:space="preserve"> Vrednost IG</w:t>
      </w:r>
      <w:r w:rsidR="00A36983">
        <w:rPr>
          <w:rFonts w:ascii="Times New Roman" w:eastAsia="Calibri" w:hAnsi="Times New Roman"/>
          <w:lang w:val="sr-Latn-RS"/>
        </w:rPr>
        <w:t>K</w:t>
      </w:r>
      <w:r w:rsidR="005B18D0" w:rsidRPr="009D0BAB">
        <w:rPr>
          <w:rFonts w:ascii="Times New Roman" w:eastAsia="Calibri" w:hAnsi="Times New Roman"/>
          <w:lang w:val="sr-Latn-RS"/>
        </w:rPr>
        <w:t xml:space="preserve"> obračunata je u skladu sa novom metodologijom (tzv. IGK 4.0) koja je po prvi put primenjena prošle godine sa novim intervalom </w:t>
      </w:r>
      <w:r w:rsidR="00C56B11" w:rsidRPr="009D0BAB">
        <w:rPr>
          <w:rFonts w:ascii="Times New Roman" w:eastAsia="Calibri" w:hAnsi="Times New Roman"/>
          <w:lang w:val="sr-Latn-RS"/>
        </w:rPr>
        <w:t xml:space="preserve">vrednost indeksa </w:t>
      </w:r>
      <w:r w:rsidR="005B18D0" w:rsidRPr="009D0BAB">
        <w:rPr>
          <w:rFonts w:ascii="Times New Roman" w:eastAsia="Calibri" w:hAnsi="Times New Roman"/>
          <w:lang w:val="sr-Latn-RS"/>
        </w:rPr>
        <w:t xml:space="preserve">koji se </w:t>
      </w:r>
      <w:r w:rsidR="00C56B11" w:rsidRPr="009D0BAB">
        <w:rPr>
          <w:rFonts w:ascii="Times New Roman" w:eastAsia="Calibri" w:hAnsi="Times New Roman"/>
          <w:lang w:val="sr-Latn-RS"/>
        </w:rPr>
        <w:t xml:space="preserve">sada kreće od 0 do 100. </w:t>
      </w:r>
      <w:r w:rsidR="00C56B11" w:rsidRPr="009D0BAB">
        <w:rPr>
          <w:rFonts w:ascii="Times New Roman" w:eastAsia="Calibri" w:hAnsi="Times New Roman"/>
          <w:b/>
          <w:color w:val="FF0000"/>
          <w:lang w:val="sr-Latn-RS"/>
        </w:rPr>
        <w:t>Pošto je sprovedena detaljna revizija načina računanja IGK</w:t>
      </w:r>
      <w:r w:rsidR="002A5B47" w:rsidRPr="009D0BAB">
        <w:rPr>
          <w:rFonts w:ascii="Times New Roman" w:eastAsia="Calibri" w:hAnsi="Times New Roman"/>
          <w:b/>
          <w:color w:val="FF0000"/>
          <w:lang w:val="sr-Latn-RS"/>
        </w:rPr>
        <w:t xml:space="preserve">, </w:t>
      </w:r>
      <w:r w:rsidR="005B18D0" w:rsidRPr="009D0BAB">
        <w:rPr>
          <w:rFonts w:ascii="Times New Roman" w:eastAsia="Calibri" w:hAnsi="Times New Roman"/>
          <w:b/>
          <w:color w:val="FF0000"/>
          <w:lang w:val="sr-Latn-RS"/>
        </w:rPr>
        <w:t xml:space="preserve"> podaci za 2019</w:t>
      </w:r>
      <w:r w:rsidR="00C56B11" w:rsidRPr="009D0BAB">
        <w:rPr>
          <w:rFonts w:ascii="Times New Roman" w:eastAsia="Calibri" w:hAnsi="Times New Roman"/>
          <w:b/>
          <w:color w:val="FF0000"/>
          <w:lang w:val="sr-Latn-RS"/>
        </w:rPr>
        <w:t xml:space="preserve">. godinu </w:t>
      </w:r>
      <w:r w:rsidR="005B18D0" w:rsidRPr="009D0BAB">
        <w:rPr>
          <w:rFonts w:ascii="Times New Roman" w:eastAsia="Calibri" w:hAnsi="Times New Roman"/>
          <w:b/>
          <w:color w:val="FF0000"/>
          <w:lang w:val="sr-Latn-RS"/>
        </w:rPr>
        <w:t xml:space="preserve">su uporedivi isključivo sa podacima iz izveštaja za 2018. godinu i revidiranim podacima za 2017. godini koji su radi dobijanja još jedne tačke poređenja objavljeni u prošlogodišnjem izveštaju. </w:t>
      </w:r>
      <w:r w:rsidR="00CA7A4F" w:rsidRPr="009D0BAB">
        <w:rPr>
          <w:rFonts w:ascii="Times New Roman" w:eastAsia="Calibri" w:hAnsi="Times New Roman"/>
          <w:lang w:val="sr-Latn-RS"/>
        </w:rPr>
        <w:t>Ovogodi</w:t>
      </w:r>
      <w:r w:rsidR="005B18D0" w:rsidRPr="009D0BAB">
        <w:rPr>
          <w:rFonts w:ascii="Times New Roman" w:eastAsia="Calibri" w:hAnsi="Times New Roman"/>
          <w:lang w:val="sr-Latn-RS"/>
        </w:rPr>
        <w:t>šnji izveštaj SEF-a obuhvata 141 privredu</w:t>
      </w:r>
      <w:r w:rsidR="00CA7A4F" w:rsidRPr="009D0BAB">
        <w:rPr>
          <w:rFonts w:ascii="Times New Roman" w:eastAsia="Calibri" w:hAnsi="Times New Roman"/>
          <w:lang w:val="sr-Latn-RS"/>
        </w:rPr>
        <w:t xml:space="preserve">, što predstavlja povećanje obuhvata za </w:t>
      </w:r>
      <w:r w:rsidR="005B18D0" w:rsidRPr="009D0BAB">
        <w:rPr>
          <w:rFonts w:ascii="Times New Roman" w:eastAsia="Calibri" w:hAnsi="Times New Roman"/>
          <w:lang w:val="sr-Latn-RS"/>
        </w:rPr>
        <w:t>jednu zemlju</w:t>
      </w:r>
      <w:r w:rsidR="00CA7A4F" w:rsidRPr="009D0BAB">
        <w:rPr>
          <w:rFonts w:ascii="Times New Roman" w:eastAsia="Calibri" w:hAnsi="Times New Roman"/>
          <w:lang w:val="sr-Latn-RS"/>
        </w:rPr>
        <w:t xml:space="preserve"> u odnosu na preth</w:t>
      </w:r>
      <w:r w:rsidR="005B18D0" w:rsidRPr="009D0BAB">
        <w:rPr>
          <w:rFonts w:ascii="Times New Roman" w:eastAsia="Calibri" w:hAnsi="Times New Roman"/>
          <w:lang w:val="sr-Latn-RS"/>
        </w:rPr>
        <w:t>odnu godinu. Ponovo su uključeni Barbados,</w:t>
      </w:r>
      <w:r w:rsidR="00CA7A4F" w:rsidRPr="009D0BAB">
        <w:rPr>
          <w:rFonts w:ascii="Times New Roman" w:eastAsia="Calibri" w:hAnsi="Times New Roman"/>
          <w:lang w:val="sr-Latn-RS"/>
        </w:rPr>
        <w:t xml:space="preserve"> </w:t>
      </w:r>
      <w:r w:rsidR="005B18D0" w:rsidRPr="009D0BAB">
        <w:rPr>
          <w:rFonts w:ascii="Times New Roman" w:eastAsia="Calibri" w:hAnsi="Times New Roman"/>
          <w:lang w:val="sr-Latn-RS"/>
        </w:rPr>
        <w:t xml:space="preserve">Gabon i Madagaskar dok </w:t>
      </w:r>
      <w:r w:rsidR="00CA7A4F" w:rsidRPr="009D0BAB">
        <w:rPr>
          <w:rFonts w:ascii="Times New Roman" w:eastAsia="Calibri" w:hAnsi="Times New Roman"/>
          <w:lang w:val="sr-Latn-RS"/>
        </w:rPr>
        <w:t xml:space="preserve">su </w:t>
      </w:r>
      <w:r w:rsidR="005B18D0" w:rsidRPr="009D0BAB">
        <w:rPr>
          <w:rFonts w:ascii="Times New Roman" w:eastAsia="Calibri" w:hAnsi="Times New Roman"/>
          <w:lang w:val="sr-Latn-RS"/>
        </w:rPr>
        <w:t>Liberija i Sijera Leone</w:t>
      </w:r>
      <w:r w:rsidR="00CA7A4F" w:rsidRPr="009D0BAB">
        <w:rPr>
          <w:rFonts w:ascii="Times New Roman" w:eastAsia="Calibri" w:hAnsi="Times New Roman"/>
          <w:lang w:val="sr-Latn-RS"/>
        </w:rPr>
        <w:t xml:space="preserve"> izostavljeni iz ovogodišnjeg izveštaja. </w:t>
      </w:r>
      <w:r w:rsidR="00903329" w:rsidRPr="009D0BAB">
        <w:rPr>
          <w:rFonts w:ascii="Times New Roman" w:eastAsia="Calibri" w:hAnsi="Times New Roman"/>
          <w:lang w:val="sr-Latn-RS"/>
        </w:rPr>
        <w:t xml:space="preserve">Na osnovu </w:t>
      </w:r>
      <w:r w:rsidR="0083484B" w:rsidRPr="009D0BAB">
        <w:rPr>
          <w:rFonts w:ascii="Times New Roman" w:eastAsia="Calibri" w:hAnsi="Times New Roman"/>
          <w:lang w:val="sr-Latn-RS"/>
        </w:rPr>
        <w:t>vrednosti indeksa u 2019</w:t>
      </w:r>
      <w:r w:rsidR="00903329" w:rsidRPr="009D0BAB">
        <w:rPr>
          <w:rFonts w:ascii="Times New Roman" w:eastAsia="Calibri" w:hAnsi="Times New Roman"/>
          <w:lang w:val="sr-Latn-RS"/>
        </w:rPr>
        <w:t xml:space="preserve">. </w:t>
      </w:r>
      <w:r w:rsidR="003818F5" w:rsidRPr="009D0BAB">
        <w:rPr>
          <w:rFonts w:ascii="Times New Roman" w:eastAsia="Calibri" w:hAnsi="Times New Roman"/>
          <w:lang w:val="sr-Latn-RS"/>
        </w:rPr>
        <w:t>godinu</w:t>
      </w:r>
      <w:r w:rsidR="00903329" w:rsidRPr="009D0BAB">
        <w:rPr>
          <w:rFonts w:ascii="Times New Roman" w:eastAsia="Calibri" w:hAnsi="Times New Roman"/>
          <w:lang w:val="sr-Latn-RS"/>
        </w:rPr>
        <w:t xml:space="preserve"> u Tabeli 1. vidimo da su gotovo sve zemlje iz okruženja </w:t>
      </w:r>
      <w:r w:rsidR="0083484B" w:rsidRPr="009D0BAB">
        <w:rPr>
          <w:rFonts w:ascii="Times New Roman" w:eastAsia="Calibri" w:hAnsi="Times New Roman"/>
          <w:lang w:val="sr-Latn-RS"/>
        </w:rPr>
        <w:t xml:space="preserve">ostvarile povećanje </w:t>
      </w:r>
      <w:r w:rsidR="003818F5" w:rsidRPr="009D0BAB">
        <w:rPr>
          <w:rFonts w:ascii="Times New Roman" w:eastAsia="Calibri" w:hAnsi="Times New Roman"/>
          <w:lang w:val="sr-Latn-RS"/>
        </w:rPr>
        <w:t>vrednosti</w:t>
      </w:r>
      <w:r w:rsidR="0083484B" w:rsidRPr="009D0BAB">
        <w:rPr>
          <w:rFonts w:ascii="Times New Roman" w:eastAsia="Calibri" w:hAnsi="Times New Roman"/>
          <w:lang w:val="sr-Latn-RS"/>
        </w:rPr>
        <w:t xml:space="preserve"> </w:t>
      </w:r>
      <w:r w:rsidR="003818F5" w:rsidRPr="009D0BAB">
        <w:rPr>
          <w:rFonts w:ascii="Times New Roman" w:eastAsia="Calibri" w:hAnsi="Times New Roman"/>
          <w:lang w:val="sr-Latn-RS"/>
        </w:rPr>
        <w:t>indeksa</w:t>
      </w:r>
      <w:r w:rsidR="00903329" w:rsidRPr="009D0BAB">
        <w:rPr>
          <w:rFonts w:ascii="Times New Roman" w:eastAsia="Calibri" w:hAnsi="Times New Roman"/>
          <w:lang w:val="sr-Latn-RS"/>
        </w:rPr>
        <w:t xml:space="preserve"> osim u </w:t>
      </w:r>
      <w:r w:rsidR="0083484B" w:rsidRPr="009D0BAB">
        <w:rPr>
          <w:rFonts w:ascii="Times New Roman" w:eastAsia="Calibri" w:hAnsi="Times New Roman"/>
          <w:lang w:val="sr-Latn-RS"/>
        </w:rPr>
        <w:t>Albanije koja je zabeležila smanjenje vrednosti IGK i Srbije koja je ponovila vrednost iz prošle godine.</w:t>
      </w:r>
      <w:r w:rsidR="00903329" w:rsidRPr="009D0BAB">
        <w:rPr>
          <w:rFonts w:ascii="Times New Roman" w:eastAsia="Calibri" w:hAnsi="Times New Roman"/>
          <w:lang w:val="sr-Latn-RS"/>
        </w:rPr>
        <w:t xml:space="preserve"> </w:t>
      </w:r>
    </w:p>
    <w:p w14:paraId="7F3AC2E6" w14:textId="77777777" w:rsidR="00E5451B" w:rsidRPr="009D0BAB" w:rsidRDefault="00E5451B" w:rsidP="00E5451B">
      <w:pPr>
        <w:jc w:val="both"/>
        <w:rPr>
          <w:rFonts w:ascii="Times New Roman" w:eastAsia="Calibri" w:hAnsi="Times New Roman"/>
          <w:lang w:val="sr-Latn-RS"/>
        </w:rPr>
      </w:pPr>
    </w:p>
    <w:p w14:paraId="0C53DDE8" w14:textId="1A944302" w:rsidR="00E5451B" w:rsidRPr="009D0BAB" w:rsidRDefault="00E5451B" w:rsidP="00E5451B">
      <w:pPr>
        <w:jc w:val="both"/>
        <w:rPr>
          <w:rFonts w:ascii="Times New Roman" w:eastAsia="Calibri" w:hAnsi="Times New Roman"/>
          <w:lang w:val="sr-Latn-RS"/>
        </w:rPr>
      </w:pPr>
      <w:r w:rsidRPr="009D0BAB">
        <w:rPr>
          <w:rFonts w:ascii="Times New Roman" w:eastAsia="Calibri" w:hAnsi="Times New Roman"/>
          <w:b/>
          <w:lang w:val="sr-Latn-RS"/>
        </w:rPr>
        <w:t>Tabela 1.</w:t>
      </w:r>
      <w:r w:rsidRPr="009D0BAB">
        <w:rPr>
          <w:rFonts w:ascii="Times New Roman" w:eastAsia="Calibri" w:hAnsi="Times New Roman"/>
          <w:lang w:val="sr-Latn-RS"/>
        </w:rPr>
        <w:t xml:space="preserve"> Indeks globalne konkurentnosti (2017-201</w:t>
      </w:r>
      <w:r w:rsidR="0083484B" w:rsidRPr="009D0BAB">
        <w:rPr>
          <w:rFonts w:ascii="Times New Roman" w:eastAsia="Calibri" w:hAnsi="Times New Roman"/>
          <w:lang w:val="sr-Latn-RS"/>
        </w:rPr>
        <w:t>9</w:t>
      </w:r>
      <w:r w:rsidRPr="009D0BAB">
        <w:rPr>
          <w:rFonts w:ascii="Times New Roman" w:eastAsia="Calibri" w:hAnsi="Times New Roman"/>
          <w:lang w:val="sr-Latn-RS"/>
        </w:rPr>
        <w:t>.)</w:t>
      </w:r>
    </w:p>
    <w:tbl>
      <w:tblPr>
        <w:tblW w:w="7101" w:type="dxa"/>
        <w:jc w:val="center"/>
        <w:tblLayout w:type="fixed"/>
        <w:tblLook w:val="04A0" w:firstRow="1" w:lastRow="0" w:firstColumn="1" w:lastColumn="0" w:noHBand="0" w:noVBand="1"/>
      </w:tblPr>
      <w:tblGrid>
        <w:gridCol w:w="1907"/>
        <w:gridCol w:w="989"/>
        <w:gridCol w:w="1066"/>
        <w:gridCol w:w="1141"/>
        <w:gridCol w:w="1998"/>
      </w:tblGrid>
      <w:tr w:rsidR="00E938CA" w:rsidRPr="009D0BAB" w14:paraId="1BDFB7ED" w14:textId="77777777" w:rsidTr="00E938CA">
        <w:trPr>
          <w:trHeight w:val="275"/>
          <w:jc w:val="center"/>
        </w:trPr>
        <w:tc>
          <w:tcPr>
            <w:tcW w:w="1907" w:type="dxa"/>
            <w:tcBorders>
              <w:top w:val="single" w:sz="6" w:space="0" w:color="000000"/>
              <w:bottom w:val="single" w:sz="12" w:space="0" w:color="000000"/>
              <w:right w:val="single" w:sz="12" w:space="0" w:color="000000"/>
            </w:tcBorders>
            <w:shd w:val="clear" w:color="auto" w:fill="auto"/>
            <w:noWrap/>
            <w:vAlign w:val="center"/>
          </w:tcPr>
          <w:p w14:paraId="0874B393" w14:textId="77777777" w:rsidR="00E938CA" w:rsidRPr="009D0BAB" w:rsidRDefault="00E938CA" w:rsidP="008E0F0C">
            <w:pPr>
              <w:jc w:val="center"/>
              <w:rPr>
                <w:rFonts w:ascii="Times New Roman" w:eastAsia="Calibri" w:hAnsi="Times New Roman"/>
                <w:bCs/>
                <w:color w:val="000000"/>
                <w:sz w:val="18"/>
                <w:szCs w:val="18"/>
                <w:lang w:val="sr-Latn-RS"/>
              </w:rPr>
            </w:pPr>
          </w:p>
        </w:tc>
        <w:tc>
          <w:tcPr>
            <w:tcW w:w="989" w:type="dxa"/>
            <w:tcBorders>
              <w:top w:val="single" w:sz="6" w:space="0" w:color="000000"/>
              <w:bottom w:val="single" w:sz="12" w:space="0" w:color="000000"/>
            </w:tcBorders>
            <w:shd w:val="clear" w:color="auto" w:fill="auto"/>
            <w:vAlign w:val="center"/>
          </w:tcPr>
          <w:p w14:paraId="0019BAEA"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2017</w:t>
            </w:r>
          </w:p>
        </w:tc>
        <w:tc>
          <w:tcPr>
            <w:tcW w:w="1066" w:type="dxa"/>
            <w:tcBorders>
              <w:top w:val="single" w:sz="6" w:space="0" w:color="000000"/>
              <w:bottom w:val="single" w:sz="12" w:space="0" w:color="000000"/>
            </w:tcBorders>
            <w:vAlign w:val="center"/>
          </w:tcPr>
          <w:p w14:paraId="7624526F"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2018</w:t>
            </w:r>
          </w:p>
        </w:tc>
        <w:tc>
          <w:tcPr>
            <w:tcW w:w="1141" w:type="dxa"/>
            <w:tcBorders>
              <w:top w:val="single" w:sz="6" w:space="0" w:color="000000"/>
              <w:bottom w:val="single" w:sz="12" w:space="0" w:color="000000"/>
            </w:tcBorders>
            <w:vAlign w:val="center"/>
          </w:tcPr>
          <w:p w14:paraId="47730891" w14:textId="6F6F0A9B"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2019</w:t>
            </w:r>
          </w:p>
        </w:tc>
        <w:tc>
          <w:tcPr>
            <w:tcW w:w="1998" w:type="dxa"/>
            <w:tcBorders>
              <w:top w:val="single" w:sz="6" w:space="0" w:color="000000"/>
              <w:bottom w:val="single" w:sz="12" w:space="0" w:color="000000"/>
            </w:tcBorders>
            <w:vAlign w:val="center"/>
          </w:tcPr>
          <w:p w14:paraId="6A7B6BB4" w14:textId="205A68CB"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Promena u odnosu na prethodnu godinu</w:t>
            </w:r>
          </w:p>
        </w:tc>
      </w:tr>
      <w:tr w:rsidR="00E938CA" w:rsidRPr="009D0BAB" w14:paraId="7E139067" w14:textId="77777777" w:rsidTr="00E938CA">
        <w:trPr>
          <w:trHeight w:val="237"/>
          <w:jc w:val="center"/>
        </w:trPr>
        <w:tc>
          <w:tcPr>
            <w:tcW w:w="1907" w:type="dxa"/>
            <w:tcBorders>
              <w:bottom w:val="single" w:sz="6" w:space="0" w:color="000000"/>
              <w:right w:val="single" w:sz="12" w:space="0" w:color="000000"/>
            </w:tcBorders>
            <w:shd w:val="clear" w:color="auto" w:fill="D9E2F3"/>
            <w:noWrap/>
            <w:vAlign w:val="center"/>
          </w:tcPr>
          <w:p w14:paraId="709FC946"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Albanija</w:t>
            </w:r>
          </w:p>
        </w:tc>
        <w:tc>
          <w:tcPr>
            <w:tcW w:w="989" w:type="dxa"/>
            <w:tcBorders>
              <w:top w:val="nil"/>
              <w:left w:val="nil"/>
              <w:bottom w:val="single" w:sz="8" w:space="0" w:color="000000"/>
              <w:right w:val="nil"/>
            </w:tcBorders>
            <w:shd w:val="clear" w:color="000000" w:fill="D9E2F3"/>
            <w:vAlign w:val="center"/>
          </w:tcPr>
          <w:p w14:paraId="3CF97BE4" w14:textId="77777777" w:rsidR="00E938CA" w:rsidRPr="009D0BAB" w:rsidRDefault="00E938CA" w:rsidP="008E0F0C">
            <w:pPr>
              <w:jc w:val="center"/>
              <w:rPr>
                <w:rFonts w:ascii="Times New Roman" w:hAnsi="Times New Roman"/>
                <w:color w:val="000000"/>
                <w:sz w:val="18"/>
                <w:szCs w:val="18"/>
                <w:lang w:val="sr-Latn-RS" w:eastAsia="sr-Cyrl-RS"/>
              </w:rPr>
            </w:pPr>
            <w:r w:rsidRPr="009D0BAB">
              <w:rPr>
                <w:rFonts w:ascii="Times New Roman" w:hAnsi="Times New Roman"/>
                <w:color w:val="000000"/>
                <w:sz w:val="18"/>
                <w:szCs w:val="18"/>
                <w:lang w:val="sr-Latn-RS"/>
              </w:rPr>
              <w:t>57,3</w:t>
            </w:r>
          </w:p>
        </w:tc>
        <w:tc>
          <w:tcPr>
            <w:tcW w:w="1066" w:type="dxa"/>
            <w:tcBorders>
              <w:bottom w:val="single" w:sz="6" w:space="0" w:color="000000"/>
            </w:tcBorders>
            <w:shd w:val="clear" w:color="auto" w:fill="D9E2F3"/>
            <w:vAlign w:val="center"/>
          </w:tcPr>
          <w:p w14:paraId="4A129E3D"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58,1</w:t>
            </w:r>
          </w:p>
        </w:tc>
        <w:tc>
          <w:tcPr>
            <w:tcW w:w="1141" w:type="dxa"/>
            <w:tcBorders>
              <w:bottom w:val="single" w:sz="6" w:space="0" w:color="000000"/>
            </w:tcBorders>
            <w:shd w:val="clear" w:color="auto" w:fill="D9E2F3"/>
            <w:vAlign w:val="center"/>
          </w:tcPr>
          <w:p w14:paraId="14AE3EFA" w14:textId="262E9CBE"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57,6</w:t>
            </w:r>
          </w:p>
        </w:tc>
        <w:tc>
          <w:tcPr>
            <w:tcW w:w="1998" w:type="dxa"/>
            <w:tcBorders>
              <w:bottom w:val="single" w:sz="6" w:space="0" w:color="000000"/>
            </w:tcBorders>
            <w:shd w:val="clear" w:color="auto" w:fill="D9E2F3"/>
            <w:vAlign w:val="center"/>
          </w:tcPr>
          <w:p w14:paraId="474D5DC8" w14:textId="33ACF9F4" w:rsidR="00E938CA" w:rsidRPr="009D0BAB" w:rsidRDefault="00E938CA" w:rsidP="00BC6937">
            <w:pPr>
              <w:pStyle w:val="NormalWeb"/>
              <w:spacing w:before="0" w:beforeAutospacing="0" w:after="0" w:afterAutospacing="0"/>
              <w:jc w:val="center"/>
              <w:rPr>
                <w:color w:val="00B050"/>
                <w:sz w:val="18"/>
                <w:szCs w:val="18"/>
                <w:lang w:val="sr-Latn-RS"/>
              </w:rPr>
            </w:pPr>
            <w:r w:rsidRPr="009D0BAB">
              <w:rPr>
                <w:rFonts w:ascii="Cambria Math" w:hAnsi="Cambria Math" w:cs="Cambria Math"/>
                <w:color w:val="000000" w:themeColor="dark1"/>
                <w:kern w:val="24"/>
                <w:sz w:val="18"/>
                <w:szCs w:val="18"/>
                <w:highlight w:val="red"/>
                <w:lang w:val="sr-Latn-RS"/>
              </w:rPr>
              <w:t>↘</w:t>
            </w:r>
          </w:p>
        </w:tc>
      </w:tr>
      <w:tr w:rsidR="00E938CA" w:rsidRPr="009D0BAB" w14:paraId="16801FD6" w14:textId="77777777" w:rsidTr="00E938CA">
        <w:trPr>
          <w:trHeight w:val="237"/>
          <w:jc w:val="center"/>
        </w:trPr>
        <w:tc>
          <w:tcPr>
            <w:tcW w:w="1907" w:type="dxa"/>
            <w:tcBorders>
              <w:right w:val="single" w:sz="12" w:space="0" w:color="000000"/>
            </w:tcBorders>
            <w:shd w:val="clear" w:color="auto" w:fill="auto"/>
            <w:noWrap/>
            <w:vAlign w:val="center"/>
          </w:tcPr>
          <w:p w14:paraId="4F97BBF3"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Bosna i Hercegovina</w:t>
            </w:r>
          </w:p>
        </w:tc>
        <w:tc>
          <w:tcPr>
            <w:tcW w:w="989" w:type="dxa"/>
            <w:tcBorders>
              <w:top w:val="nil"/>
              <w:left w:val="nil"/>
              <w:bottom w:val="nil"/>
              <w:right w:val="nil"/>
            </w:tcBorders>
            <w:shd w:val="clear" w:color="auto" w:fill="auto"/>
            <w:vAlign w:val="center"/>
          </w:tcPr>
          <w:p w14:paraId="0B122EED"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54,5</w:t>
            </w:r>
          </w:p>
        </w:tc>
        <w:tc>
          <w:tcPr>
            <w:tcW w:w="1066" w:type="dxa"/>
            <w:shd w:val="clear" w:color="auto" w:fill="auto"/>
            <w:vAlign w:val="center"/>
          </w:tcPr>
          <w:p w14:paraId="539EDED0"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54,2</w:t>
            </w:r>
          </w:p>
        </w:tc>
        <w:tc>
          <w:tcPr>
            <w:tcW w:w="1141" w:type="dxa"/>
            <w:vAlign w:val="center"/>
          </w:tcPr>
          <w:p w14:paraId="11616270" w14:textId="5ACB5838"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54,7</w:t>
            </w:r>
          </w:p>
        </w:tc>
        <w:tc>
          <w:tcPr>
            <w:tcW w:w="1998" w:type="dxa"/>
            <w:vAlign w:val="center"/>
          </w:tcPr>
          <w:p w14:paraId="10D6AB8E" w14:textId="4960FECA" w:rsidR="00E938CA" w:rsidRPr="009D0BAB" w:rsidRDefault="00E938CA" w:rsidP="00E5451B">
            <w:pPr>
              <w:pStyle w:val="NormalWeb"/>
              <w:spacing w:before="0" w:beforeAutospacing="0" w:after="0" w:afterAutospacing="0"/>
              <w:jc w:val="center"/>
              <w:rPr>
                <w:color w:val="FFC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52BA011D" w14:textId="77777777" w:rsidTr="00E938CA">
        <w:trPr>
          <w:trHeight w:val="237"/>
          <w:jc w:val="center"/>
        </w:trPr>
        <w:tc>
          <w:tcPr>
            <w:tcW w:w="1907" w:type="dxa"/>
            <w:tcBorders>
              <w:bottom w:val="single" w:sz="6" w:space="0" w:color="000000"/>
              <w:right w:val="single" w:sz="12" w:space="0" w:color="000000"/>
            </w:tcBorders>
            <w:shd w:val="clear" w:color="auto" w:fill="D9E2F3"/>
            <w:noWrap/>
            <w:vAlign w:val="center"/>
          </w:tcPr>
          <w:p w14:paraId="4C51FF87"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Bugarska</w:t>
            </w:r>
          </w:p>
        </w:tc>
        <w:tc>
          <w:tcPr>
            <w:tcW w:w="989" w:type="dxa"/>
            <w:tcBorders>
              <w:top w:val="nil"/>
              <w:left w:val="nil"/>
              <w:bottom w:val="single" w:sz="8" w:space="0" w:color="000000"/>
              <w:right w:val="nil"/>
            </w:tcBorders>
            <w:shd w:val="clear" w:color="000000" w:fill="D9E2F3"/>
            <w:vAlign w:val="center"/>
          </w:tcPr>
          <w:p w14:paraId="00C4AD06"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62,4</w:t>
            </w:r>
          </w:p>
        </w:tc>
        <w:tc>
          <w:tcPr>
            <w:tcW w:w="1066" w:type="dxa"/>
            <w:tcBorders>
              <w:bottom w:val="single" w:sz="6" w:space="0" w:color="000000"/>
            </w:tcBorders>
            <w:shd w:val="clear" w:color="auto" w:fill="D9E2F3"/>
            <w:vAlign w:val="center"/>
          </w:tcPr>
          <w:p w14:paraId="142E5D87"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63,6</w:t>
            </w:r>
          </w:p>
        </w:tc>
        <w:tc>
          <w:tcPr>
            <w:tcW w:w="1141" w:type="dxa"/>
            <w:tcBorders>
              <w:bottom w:val="single" w:sz="6" w:space="0" w:color="000000"/>
            </w:tcBorders>
            <w:shd w:val="clear" w:color="auto" w:fill="D9E2F3"/>
            <w:vAlign w:val="center"/>
          </w:tcPr>
          <w:p w14:paraId="0198F18D" w14:textId="5F1551F7"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64,9</w:t>
            </w:r>
          </w:p>
        </w:tc>
        <w:tc>
          <w:tcPr>
            <w:tcW w:w="1998" w:type="dxa"/>
            <w:tcBorders>
              <w:bottom w:val="single" w:sz="6" w:space="0" w:color="000000"/>
            </w:tcBorders>
            <w:shd w:val="clear" w:color="auto" w:fill="D9E2F3"/>
            <w:vAlign w:val="center"/>
          </w:tcPr>
          <w:p w14:paraId="51C6CD2C" w14:textId="600A2E23" w:rsidR="00E938CA" w:rsidRPr="009D0BAB" w:rsidRDefault="00E938CA" w:rsidP="00BC6937">
            <w:pPr>
              <w:pStyle w:val="NormalWeb"/>
              <w:spacing w:before="0" w:beforeAutospacing="0" w:after="0" w:afterAutospacing="0"/>
              <w:jc w:val="center"/>
              <w:rPr>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507E7AC5" w14:textId="77777777" w:rsidTr="00E938CA">
        <w:trPr>
          <w:trHeight w:val="237"/>
          <w:jc w:val="center"/>
        </w:trPr>
        <w:tc>
          <w:tcPr>
            <w:tcW w:w="1907" w:type="dxa"/>
            <w:tcBorders>
              <w:right w:val="single" w:sz="12" w:space="0" w:color="000000"/>
            </w:tcBorders>
            <w:shd w:val="clear" w:color="auto" w:fill="auto"/>
            <w:noWrap/>
            <w:vAlign w:val="center"/>
          </w:tcPr>
          <w:p w14:paraId="44C99BE3"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Hrvatska</w:t>
            </w:r>
          </w:p>
        </w:tc>
        <w:tc>
          <w:tcPr>
            <w:tcW w:w="989" w:type="dxa"/>
            <w:tcBorders>
              <w:top w:val="nil"/>
              <w:left w:val="nil"/>
              <w:bottom w:val="nil"/>
              <w:right w:val="nil"/>
            </w:tcBorders>
            <w:shd w:val="clear" w:color="auto" w:fill="auto"/>
            <w:vAlign w:val="center"/>
          </w:tcPr>
          <w:p w14:paraId="056E31F4"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60,1</w:t>
            </w:r>
          </w:p>
        </w:tc>
        <w:tc>
          <w:tcPr>
            <w:tcW w:w="1066" w:type="dxa"/>
            <w:shd w:val="clear" w:color="auto" w:fill="auto"/>
            <w:vAlign w:val="center"/>
          </w:tcPr>
          <w:p w14:paraId="6F7F12FD"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60,1</w:t>
            </w:r>
          </w:p>
        </w:tc>
        <w:tc>
          <w:tcPr>
            <w:tcW w:w="1141" w:type="dxa"/>
            <w:vAlign w:val="center"/>
          </w:tcPr>
          <w:p w14:paraId="73B2BB4E" w14:textId="1FD53045"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61,9</w:t>
            </w:r>
          </w:p>
        </w:tc>
        <w:tc>
          <w:tcPr>
            <w:tcW w:w="1998" w:type="dxa"/>
            <w:vAlign w:val="center"/>
          </w:tcPr>
          <w:p w14:paraId="79085A55" w14:textId="1D45F384" w:rsidR="00E938CA" w:rsidRPr="009D0BAB" w:rsidRDefault="00E938CA" w:rsidP="008E0F0C">
            <w:pPr>
              <w:jc w:val="center"/>
              <w:rPr>
                <w:rFonts w:ascii="Times New Roman" w:hAnsi="Times New Roman"/>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3633D439" w14:textId="77777777" w:rsidTr="00E938CA">
        <w:trPr>
          <w:trHeight w:val="237"/>
          <w:jc w:val="center"/>
        </w:trPr>
        <w:tc>
          <w:tcPr>
            <w:tcW w:w="1907" w:type="dxa"/>
            <w:tcBorders>
              <w:bottom w:val="single" w:sz="6" w:space="0" w:color="000000"/>
              <w:right w:val="single" w:sz="12" w:space="0" w:color="000000"/>
            </w:tcBorders>
            <w:shd w:val="clear" w:color="auto" w:fill="D9E2F3"/>
            <w:noWrap/>
            <w:vAlign w:val="center"/>
          </w:tcPr>
          <w:p w14:paraId="1F38B634"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Mađarska</w:t>
            </w:r>
          </w:p>
        </w:tc>
        <w:tc>
          <w:tcPr>
            <w:tcW w:w="989" w:type="dxa"/>
            <w:tcBorders>
              <w:top w:val="nil"/>
              <w:left w:val="nil"/>
              <w:bottom w:val="single" w:sz="8" w:space="0" w:color="000000"/>
              <w:right w:val="nil"/>
            </w:tcBorders>
            <w:shd w:val="clear" w:color="000000" w:fill="D9E2F3"/>
            <w:vAlign w:val="center"/>
          </w:tcPr>
          <w:p w14:paraId="5DB2AC2D"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63,4</w:t>
            </w:r>
          </w:p>
        </w:tc>
        <w:tc>
          <w:tcPr>
            <w:tcW w:w="1066" w:type="dxa"/>
            <w:tcBorders>
              <w:bottom w:val="single" w:sz="6" w:space="0" w:color="000000"/>
            </w:tcBorders>
            <w:shd w:val="clear" w:color="auto" w:fill="D9E2F3"/>
            <w:vAlign w:val="center"/>
          </w:tcPr>
          <w:p w14:paraId="2A841889"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64,3</w:t>
            </w:r>
          </w:p>
        </w:tc>
        <w:tc>
          <w:tcPr>
            <w:tcW w:w="1141" w:type="dxa"/>
            <w:tcBorders>
              <w:bottom w:val="single" w:sz="6" w:space="0" w:color="000000"/>
            </w:tcBorders>
            <w:shd w:val="clear" w:color="auto" w:fill="D9E2F3"/>
            <w:vAlign w:val="center"/>
          </w:tcPr>
          <w:p w14:paraId="6B10C029" w14:textId="73EE0962"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65,1</w:t>
            </w:r>
          </w:p>
        </w:tc>
        <w:tc>
          <w:tcPr>
            <w:tcW w:w="1998" w:type="dxa"/>
            <w:tcBorders>
              <w:bottom w:val="single" w:sz="6" w:space="0" w:color="000000"/>
            </w:tcBorders>
            <w:shd w:val="clear" w:color="auto" w:fill="D9E2F3"/>
            <w:vAlign w:val="center"/>
          </w:tcPr>
          <w:p w14:paraId="28ADFF9C" w14:textId="2AC88E88" w:rsidR="00E938CA" w:rsidRPr="009D0BAB" w:rsidRDefault="00E938CA" w:rsidP="00BC6937">
            <w:pPr>
              <w:pStyle w:val="NormalWeb"/>
              <w:spacing w:before="0" w:beforeAutospacing="0" w:after="0" w:afterAutospacing="0"/>
              <w:jc w:val="center"/>
              <w:rPr>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50D43CC6" w14:textId="77777777" w:rsidTr="00E938CA">
        <w:trPr>
          <w:trHeight w:val="237"/>
          <w:jc w:val="center"/>
        </w:trPr>
        <w:tc>
          <w:tcPr>
            <w:tcW w:w="1907" w:type="dxa"/>
            <w:tcBorders>
              <w:right w:val="single" w:sz="12" w:space="0" w:color="000000"/>
            </w:tcBorders>
            <w:shd w:val="clear" w:color="auto" w:fill="auto"/>
            <w:noWrap/>
            <w:vAlign w:val="center"/>
          </w:tcPr>
          <w:p w14:paraId="7D614C4B"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BJR Makedonija</w:t>
            </w:r>
          </w:p>
        </w:tc>
        <w:tc>
          <w:tcPr>
            <w:tcW w:w="989" w:type="dxa"/>
            <w:tcBorders>
              <w:top w:val="nil"/>
              <w:left w:val="nil"/>
              <w:bottom w:val="nil"/>
              <w:right w:val="nil"/>
            </w:tcBorders>
            <w:shd w:val="clear" w:color="auto" w:fill="auto"/>
            <w:vAlign w:val="center"/>
          </w:tcPr>
          <w:p w14:paraId="18B8E54A"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n/a**</w:t>
            </w:r>
          </w:p>
        </w:tc>
        <w:tc>
          <w:tcPr>
            <w:tcW w:w="1066" w:type="dxa"/>
            <w:shd w:val="clear" w:color="auto" w:fill="auto"/>
            <w:vAlign w:val="center"/>
          </w:tcPr>
          <w:p w14:paraId="08410E18"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56,6</w:t>
            </w:r>
          </w:p>
        </w:tc>
        <w:tc>
          <w:tcPr>
            <w:tcW w:w="1141" w:type="dxa"/>
            <w:vAlign w:val="center"/>
          </w:tcPr>
          <w:p w14:paraId="72CF0B6A" w14:textId="3040011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57,3</w:t>
            </w:r>
          </w:p>
        </w:tc>
        <w:tc>
          <w:tcPr>
            <w:tcW w:w="1998" w:type="dxa"/>
            <w:vAlign w:val="center"/>
          </w:tcPr>
          <w:p w14:paraId="42C669C3" w14:textId="30E55F64" w:rsidR="00E938CA" w:rsidRPr="009D0BAB" w:rsidRDefault="00E938CA" w:rsidP="008E0F0C">
            <w:pPr>
              <w:jc w:val="center"/>
              <w:rPr>
                <w:rFonts w:ascii="Times New Roman" w:hAnsi="Times New Roman"/>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3A6B789F" w14:textId="77777777" w:rsidTr="00E938CA">
        <w:trPr>
          <w:trHeight w:val="237"/>
          <w:jc w:val="center"/>
        </w:trPr>
        <w:tc>
          <w:tcPr>
            <w:tcW w:w="1907" w:type="dxa"/>
            <w:tcBorders>
              <w:bottom w:val="single" w:sz="6" w:space="0" w:color="000000"/>
              <w:right w:val="single" w:sz="12" w:space="0" w:color="000000"/>
            </w:tcBorders>
            <w:shd w:val="clear" w:color="auto" w:fill="D9E2F3"/>
            <w:noWrap/>
            <w:vAlign w:val="center"/>
          </w:tcPr>
          <w:p w14:paraId="792C5716"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Crna Gora</w:t>
            </w:r>
          </w:p>
        </w:tc>
        <w:tc>
          <w:tcPr>
            <w:tcW w:w="989" w:type="dxa"/>
            <w:tcBorders>
              <w:top w:val="nil"/>
              <w:left w:val="nil"/>
              <w:bottom w:val="single" w:sz="8" w:space="0" w:color="000000"/>
              <w:right w:val="nil"/>
            </w:tcBorders>
            <w:shd w:val="clear" w:color="000000" w:fill="D9E2F3"/>
            <w:vAlign w:val="center"/>
          </w:tcPr>
          <w:p w14:paraId="3515DB0F"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58,2</w:t>
            </w:r>
          </w:p>
        </w:tc>
        <w:tc>
          <w:tcPr>
            <w:tcW w:w="1066" w:type="dxa"/>
            <w:tcBorders>
              <w:bottom w:val="single" w:sz="6" w:space="0" w:color="000000"/>
            </w:tcBorders>
            <w:shd w:val="clear" w:color="auto" w:fill="D9E2F3"/>
            <w:vAlign w:val="center"/>
          </w:tcPr>
          <w:p w14:paraId="22818FDD"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59,6</w:t>
            </w:r>
          </w:p>
        </w:tc>
        <w:tc>
          <w:tcPr>
            <w:tcW w:w="1141" w:type="dxa"/>
            <w:tcBorders>
              <w:bottom w:val="single" w:sz="6" w:space="0" w:color="000000"/>
            </w:tcBorders>
            <w:shd w:val="clear" w:color="auto" w:fill="D9E2F3"/>
            <w:vAlign w:val="center"/>
          </w:tcPr>
          <w:p w14:paraId="71EF5FB9" w14:textId="7F97495F"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60,8</w:t>
            </w:r>
          </w:p>
        </w:tc>
        <w:tc>
          <w:tcPr>
            <w:tcW w:w="1998" w:type="dxa"/>
            <w:tcBorders>
              <w:bottom w:val="single" w:sz="6" w:space="0" w:color="000000"/>
            </w:tcBorders>
            <w:shd w:val="clear" w:color="auto" w:fill="D9E2F3"/>
            <w:vAlign w:val="center"/>
          </w:tcPr>
          <w:p w14:paraId="5F78DAB7" w14:textId="0BF5DB6B" w:rsidR="00E938CA" w:rsidRPr="009D0BAB" w:rsidRDefault="00E938CA" w:rsidP="00BC6937">
            <w:pPr>
              <w:pStyle w:val="NormalWeb"/>
              <w:spacing w:before="0" w:beforeAutospacing="0" w:after="0" w:afterAutospacing="0"/>
              <w:jc w:val="center"/>
              <w:rPr>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1A8B9C8C" w14:textId="77777777" w:rsidTr="00E938CA">
        <w:trPr>
          <w:trHeight w:val="237"/>
          <w:jc w:val="center"/>
        </w:trPr>
        <w:tc>
          <w:tcPr>
            <w:tcW w:w="1907" w:type="dxa"/>
            <w:tcBorders>
              <w:right w:val="single" w:sz="12" w:space="0" w:color="000000"/>
            </w:tcBorders>
            <w:shd w:val="clear" w:color="auto" w:fill="auto"/>
            <w:noWrap/>
            <w:vAlign w:val="center"/>
          </w:tcPr>
          <w:p w14:paraId="47FF32F2"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Rumunija</w:t>
            </w:r>
          </w:p>
        </w:tc>
        <w:tc>
          <w:tcPr>
            <w:tcW w:w="989" w:type="dxa"/>
            <w:tcBorders>
              <w:top w:val="nil"/>
              <w:left w:val="nil"/>
              <w:bottom w:val="nil"/>
              <w:right w:val="nil"/>
            </w:tcBorders>
            <w:shd w:val="clear" w:color="auto" w:fill="auto"/>
            <w:vAlign w:val="center"/>
          </w:tcPr>
          <w:p w14:paraId="245236D2"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62,2</w:t>
            </w:r>
          </w:p>
        </w:tc>
        <w:tc>
          <w:tcPr>
            <w:tcW w:w="1066" w:type="dxa"/>
            <w:shd w:val="clear" w:color="auto" w:fill="auto"/>
            <w:vAlign w:val="center"/>
          </w:tcPr>
          <w:p w14:paraId="010DE604"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63,5</w:t>
            </w:r>
          </w:p>
        </w:tc>
        <w:tc>
          <w:tcPr>
            <w:tcW w:w="1141" w:type="dxa"/>
            <w:vAlign w:val="center"/>
          </w:tcPr>
          <w:p w14:paraId="148EED2A" w14:textId="785FA35D"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64,4</w:t>
            </w:r>
          </w:p>
        </w:tc>
        <w:tc>
          <w:tcPr>
            <w:tcW w:w="1998" w:type="dxa"/>
            <w:vAlign w:val="center"/>
          </w:tcPr>
          <w:p w14:paraId="0D3DE51F" w14:textId="073843D5" w:rsidR="00E938CA" w:rsidRPr="009D0BAB" w:rsidRDefault="00E938CA" w:rsidP="00BC6937">
            <w:pPr>
              <w:pStyle w:val="NormalWeb"/>
              <w:spacing w:before="0" w:beforeAutospacing="0" w:after="0" w:afterAutospacing="0"/>
              <w:jc w:val="center"/>
              <w:rPr>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31FF3695" w14:textId="77777777" w:rsidTr="00E938CA">
        <w:trPr>
          <w:trHeight w:val="237"/>
          <w:jc w:val="center"/>
        </w:trPr>
        <w:tc>
          <w:tcPr>
            <w:tcW w:w="1907" w:type="dxa"/>
            <w:tcBorders>
              <w:bottom w:val="single" w:sz="6" w:space="0" w:color="000000"/>
              <w:right w:val="single" w:sz="12" w:space="0" w:color="000000"/>
            </w:tcBorders>
            <w:shd w:val="clear" w:color="auto" w:fill="D9E2F3"/>
            <w:noWrap/>
            <w:vAlign w:val="center"/>
          </w:tcPr>
          <w:p w14:paraId="7901745F"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Slovenija</w:t>
            </w:r>
          </w:p>
        </w:tc>
        <w:tc>
          <w:tcPr>
            <w:tcW w:w="989" w:type="dxa"/>
            <w:tcBorders>
              <w:top w:val="nil"/>
              <w:left w:val="nil"/>
              <w:bottom w:val="single" w:sz="8" w:space="0" w:color="000000"/>
              <w:right w:val="nil"/>
            </w:tcBorders>
            <w:shd w:val="clear" w:color="000000" w:fill="D9E2F3"/>
            <w:vAlign w:val="center"/>
          </w:tcPr>
          <w:p w14:paraId="47DA49F9"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68,5</w:t>
            </w:r>
          </w:p>
        </w:tc>
        <w:tc>
          <w:tcPr>
            <w:tcW w:w="1066" w:type="dxa"/>
            <w:tcBorders>
              <w:bottom w:val="single" w:sz="6" w:space="0" w:color="000000"/>
            </w:tcBorders>
            <w:shd w:val="clear" w:color="auto" w:fill="D9E2F3"/>
            <w:vAlign w:val="center"/>
          </w:tcPr>
          <w:p w14:paraId="1C54B571"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69,6</w:t>
            </w:r>
          </w:p>
        </w:tc>
        <w:tc>
          <w:tcPr>
            <w:tcW w:w="1141" w:type="dxa"/>
            <w:tcBorders>
              <w:bottom w:val="single" w:sz="6" w:space="0" w:color="000000"/>
            </w:tcBorders>
            <w:shd w:val="clear" w:color="auto" w:fill="D9E2F3"/>
            <w:vAlign w:val="center"/>
          </w:tcPr>
          <w:p w14:paraId="43134982" w14:textId="08ACCC93"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70,2</w:t>
            </w:r>
          </w:p>
        </w:tc>
        <w:tc>
          <w:tcPr>
            <w:tcW w:w="1998" w:type="dxa"/>
            <w:tcBorders>
              <w:bottom w:val="single" w:sz="6" w:space="0" w:color="000000"/>
            </w:tcBorders>
            <w:shd w:val="clear" w:color="auto" w:fill="D9E2F3"/>
            <w:vAlign w:val="center"/>
          </w:tcPr>
          <w:p w14:paraId="78C17DAC" w14:textId="4A2D333B" w:rsidR="00E938CA" w:rsidRPr="009D0BAB" w:rsidRDefault="00E938CA" w:rsidP="00BC6937">
            <w:pPr>
              <w:pStyle w:val="NormalWeb"/>
              <w:spacing w:before="0" w:beforeAutospacing="0" w:after="0" w:afterAutospacing="0"/>
              <w:jc w:val="center"/>
              <w:rPr>
                <w:color w:val="000000"/>
                <w:sz w:val="18"/>
                <w:szCs w:val="18"/>
                <w:lang w:val="sr-Latn-RS"/>
              </w:rPr>
            </w:pPr>
            <w:r w:rsidRPr="009D0BAB">
              <w:rPr>
                <w:rFonts w:ascii="Cambria Math" w:hAnsi="Cambria Math" w:cs="Cambria Math"/>
                <w:bCs/>
                <w:color w:val="000000"/>
                <w:kern w:val="24"/>
                <w:sz w:val="18"/>
                <w:szCs w:val="18"/>
                <w:highlight w:val="green"/>
                <w:lang w:val="sr-Latn-RS"/>
              </w:rPr>
              <w:t>↗</w:t>
            </w:r>
          </w:p>
        </w:tc>
      </w:tr>
      <w:tr w:rsidR="00E938CA" w:rsidRPr="009D0BAB" w14:paraId="32A13DB4" w14:textId="77777777" w:rsidTr="00E938CA">
        <w:trPr>
          <w:trHeight w:val="237"/>
          <w:jc w:val="center"/>
        </w:trPr>
        <w:tc>
          <w:tcPr>
            <w:tcW w:w="1907" w:type="dxa"/>
            <w:tcBorders>
              <w:top w:val="single" w:sz="6" w:space="0" w:color="000000"/>
              <w:bottom w:val="single" w:sz="12" w:space="0" w:color="auto"/>
              <w:right w:val="single" w:sz="12" w:space="0" w:color="000000"/>
            </w:tcBorders>
            <w:shd w:val="clear" w:color="auto" w:fill="FBE4D5"/>
            <w:noWrap/>
            <w:vAlign w:val="center"/>
          </w:tcPr>
          <w:p w14:paraId="26DDB8CA" w14:textId="77777777" w:rsidR="00E938CA" w:rsidRPr="009D0BAB" w:rsidRDefault="00E938CA"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Srbija</w:t>
            </w:r>
          </w:p>
        </w:tc>
        <w:tc>
          <w:tcPr>
            <w:tcW w:w="989" w:type="dxa"/>
            <w:tcBorders>
              <w:top w:val="nil"/>
              <w:left w:val="nil"/>
              <w:bottom w:val="single" w:sz="12" w:space="0" w:color="auto"/>
              <w:right w:val="nil"/>
            </w:tcBorders>
            <w:shd w:val="clear" w:color="000000" w:fill="FBE4D5"/>
            <w:vAlign w:val="center"/>
          </w:tcPr>
          <w:p w14:paraId="2306DBE0"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59.2</w:t>
            </w:r>
          </w:p>
        </w:tc>
        <w:tc>
          <w:tcPr>
            <w:tcW w:w="1066" w:type="dxa"/>
            <w:tcBorders>
              <w:top w:val="single" w:sz="6" w:space="0" w:color="000000"/>
              <w:bottom w:val="single" w:sz="12" w:space="0" w:color="auto"/>
            </w:tcBorders>
            <w:shd w:val="clear" w:color="auto" w:fill="FBE4D5"/>
            <w:vAlign w:val="center"/>
          </w:tcPr>
          <w:p w14:paraId="592DE695" w14:textId="77777777" w:rsidR="00E938CA" w:rsidRPr="009D0BAB" w:rsidRDefault="00E938CA"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60.9</w:t>
            </w:r>
          </w:p>
        </w:tc>
        <w:tc>
          <w:tcPr>
            <w:tcW w:w="1141" w:type="dxa"/>
            <w:tcBorders>
              <w:top w:val="single" w:sz="6" w:space="0" w:color="000000"/>
              <w:bottom w:val="single" w:sz="12" w:space="0" w:color="auto"/>
            </w:tcBorders>
            <w:shd w:val="clear" w:color="auto" w:fill="FBE4D5"/>
            <w:vAlign w:val="center"/>
          </w:tcPr>
          <w:p w14:paraId="1DF48CB1" w14:textId="45B5A014" w:rsidR="00E938CA" w:rsidRPr="009D0BAB" w:rsidRDefault="00E938CA" w:rsidP="0083484B">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60,9</w:t>
            </w:r>
          </w:p>
        </w:tc>
        <w:tc>
          <w:tcPr>
            <w:tcW w:w="1998" w:type="dxa"/>
            <w:tcBorders>
              <w:top w:val="single" w:sz="6" w:space="0" w:color="000000"/>
              <w:bottom w:val="single" w:sz="12" w:space="0" w:color="auto"/>
            </w:tcBorders>
            <w:shd w:val="clear" w:color="auto" w:fill="FBE4D5"/>
            <w:vAlign w:val="center"/>
          </w:tcPr>
          <w:p w14:paraId="50F3C389" w14:textId="384DA7D9" w:rsidR="00E938CA" w:rsidRPr="009D0BAB" w:rsidRDefault="00E938CA" w:rsidP="00BC6937">
            <w:pPr>
              <w:pStyle w:val="NormalWeb"/>
              <w:spacing w:before="0" w:beforeAutospacing="0" w:after="0" w:afterAutospacing="0"/>
              <w:jc w:val="center"/>
              <w:rPr>
                <w:color w:val="000000"/>
                <w:sz w:val="18"/>
                <w:szCs w:val="18"/>
                <w:lang w:val="sr-Latn-RS"/>
              </w:rPr>
            </w:pPr>
            <w:r w:rsidRPr="009D0BAB">
              <w:rPr>
                <w:color w:val="000000"/>
                <w:sz w:val="18"/>
                <w:szCs w:val="18"/>
                <w:lang w:val="sr-Latn-RS"/>
              </w:rPr>
              <w:t>-</w:t>
            </w:r>
          </w:p>
        </w:tc>
      </w:tr>
    </w:tbl>
    <w:p w14:paraId="6EC9018C" w14:textId="77777777" w:rsidR="00E5451B" w:rsidRPr="009D0BAB" w:rsidRDefault="00E5451B" w:rsidP="00E5451B">
      <w:pPr>
        <w:jc w:val="both"/>
        <w:rPr>
          <w:rFonts w:ascii="Times New Roman" w:eastAsia="Calibri" w:hAnsi="Times New Roman"/>
          <w:sz w:val="16"/>
          <w:lang w:val="sr-Latn-RS"/>
        </w:rPr>
      </w:pPr>
      <w:r w:rsidRPr="009D0BAB">
        <w:rPr>
          <w:rFonts w:ascii="Times New Roman" w:eastAsia="Calibri" w:hAnsi="Times New Roman"/>
          <w:b/>
          <w:sz w:val="16"/>
          <w:lang w:val="sr-Latn-RS"/>
        </w:rPr>
        <w:t>Izvor:</w:t>
      </w:r>
      <w:r w:rsidRPr="009D0BAB">
        <w:rPr>
          <w:rFonts w:ascii="Times New Roman" w:eastAsia="Calibri" w:hAnsi="Times New Roman"/>
          <w:sz w:val="16"/>
          <w:lang w:val="sr-Latn-RS"/>
        </w:rPr>
        <w:t xml:space="preserve"> WEF 2018.</w:t>
      </w:r>
    </w:p>
    <w:p w14:paraId="304D4BED" w14:textId="77777777" w:rsidR="00E5451B" w:rsidRPr="009D0BAB" w:rsidRDefault="00E5451B" w:rsidP="00E5451B">
      <w:pPr>
        <w:jc w:val="both"/>
        <w:rPr>
          <w:rFonts w:ascii="Times New Roman" w:eastAsia="Calibri" w:hAnsi="Times New Roman"/>
          <w:sz w:val="16"/>
          <w:szCs w:val="16"/>
          <w:lang w:val="sr-Latn-RS"/>
        </w:rPr>
      </w:pPr>
      <w:r w:rsidRPr="009D0BAB">
        <w:rPr>
          <w:rFonts w:ascii="Times New Roman" w:eastAsia="Calibri" w:hAnsi="Times New Roman"/>
          <w:sz w:val="16"/>
          <w:szCs w:val="20"/>
          <w:lang w:val="sr-Latn-RS"/>
        </w:rPr>
        <w:t>**Usled nemogućnosti da se prikupe podaci za BJR Makedoniju u 2017. godini vrednosti indeksa nije obračunata za ovu godinu</w:t>
      </w:r>
    </w:p>
    <w:p w14:paraId="20668483" w14:textId="3B7E30A5" w:rsidR="00E5451B" w:rsidRPr="009D0BAB" w:rsidRDefault="000A1E36" w:rsidP="00E5451B">
      <w:pPr>
        <w:ind w:firstLine="708"/>
        <w:jc w:val="both"/>
        <w:rPr>
          <w:rFonts w:ascii="Times New Roman" w:eastAsia="Calibri" w:hAnsi="Times New Roman"/>
          <w:lang w:val="sr-Latn-RS"/>
        </w:rPr>
      </w:pPr>
      <w:r w:rsidRPr="009D0BAB">
        <w:rPr>
          <w:rFonts w:ascii="Times New Roman" w:eastAsia="Calibri" w:hAnsi="Times New Roman"/>
          <w:lang w:val="sr-Latn-RS"/>
        </w:rPr>
        <w:lastRenderedPageBreak/>
        <w:t>Od posmatranih zemalja, n</w:t>
      </w:r>
      <w:r w:rsidR="00E5451B" w:rsidRPr="009D0BAB">
        <w:rPr>
          <w:rFonts w:ascii="Times New Roman" w:eastAsia="Calibri" w:hAnsi="Times New Roman"/>
          <w:lang w:val="sr-Latn-RS"/>
        </w:rPr>
        <w:t>ajveće povećanje vrednosti IGK r</w:t>
      </w:r>
      <w:r w:rsidR="002642E3" w:rsidRPr="009D0BAB">
        <w:rPr>
          <w:rFonts w:ascii="Times New Roman" w:eastAsia="Calibri" w:hAnsi="Times New Roman"/>
          <w:lang w:val="sr-Latn-RS"/>
        </w:rPr>
        <w:t>ačunato prema metodologiji 4.0</w:t>
      </w:r>
      <w:r w:rsidR="00E5451B" w:rsidRPr="009D0BAB">
        <w:rPr>
          <w:rFonts w:ascii="Times New Roman" w:eastAsia="Calibri" w:hAnsi="Times New Roman"/>
          <w:lang w:val="sr-Latn-RS"/>
        </w:rPr>
        <w:t xml:space="preserve"> zabeležila je </w:t>
      </w:r>
      <w:r w:rsidR="002642E3" w:rsidRPr="009D0BAB">
        <w:rPr>
          <w:rFonts w:ascii="Times New Roman" w:eastAsia="Calibri" w:hAnsi="Times New Roman"/>
          <w:lang w:val="sr-Latn-RS"/>
        </w:rPr>
        <w:t xml:space="preserve">Hrvatska </w:t>
      </w:r>
      <w:r w:rsidR="00E5451B" w:rsidRPr="009D0BAB">
        <w:rPr>
          <w:rFonts w:ascii="Times New Roman" w:eastAsia="Calibri" w:hAnsi="Times New Roman"/>
          <w:lang w:val="sr-Latn-RS"/>
        </w:rPr>
        <w:t xml:space="preserve">sa </w:t>
      </w:r>
      <w:r w:rsidR="002642E3" w:rsidRPr="009D0BAB">
        <w:rPr>
          <w:rFonts w:ascii="Times New Roman" w:eastAsia="Calibri" w:hAnsi="Times New Roman"/>
          <w:lang w:val="sr-Latn-RS"/>
        </w:rPr>
        <w:t>rastom indeksa za 1,8</w:t>
      </w:r>
      <w:r w:rsidR="00E5451B" w:rsidRPr="009D0BAB">
        <w:rPr>
          <w:rFonts w:ascii="Times New Roman" w:eastAsia="Calibri" w:hAnsi="Times New Roman"/>
          <w:lang w:val="sr-Latn-RS"/>
        </w:rPr>
        <w:t xml:space="preserve"> poena na trenutnih 6</w:t>
      </w:r>
      <w:r w:rsidR="002642E3" w:rsidRPr="009D0BAB">
        <w:rPr>
          <w:rFonts w:ascii="Times New Roman" w:eastAsia="Calibri" w:hAnsi="Times New Roman"/>
          <w:lang w:val="sr-Latn-RS"/>
        </w:rPr>
        <w:t>1</w:t>
      </w:r>
      <w:r w:rsidR="00E5451B" w:rsidRPr="009D0BAB">
        <w:rPr>
          <w:rFonts w:ascii="Times New Roman" w:eastAsia="Calibri" w:hAnsi="Times New Roman"/>
          <w:lang w:val="sr-Latn-RS"/>
        </w:rPr>
        <w:t>,9</w:t>
      </w:r>
      <w:r w:rsidR="00173E26" w:rsidRPr="009D0BAB">
        <w:rPr>
          <w:rFonts w:ascii="Times New Roman" w:eastAsia="Calibri" w:hAnsi="Times New Roman"/>
          <w:lang w:val="sr-Latn-RS"/>
        </w:rPr>
        <w:t xml:space="preserve"> </w:t>
      </w:r>
      <w:r w:rsidR="00E5451B" w:rsidRPr="009D0BAB">
        <w:rPr>
          <w:rFonts w:ascii="Times New Roman" w:eastAsia="Calibri" w:hAnsi="Times New Roman"/>
          <w:lang w:val="sr-Latn-RS"/>
        </w:rPr>
        <w:t>od maksimalnih 100.</w:t>
      </w:r>
      <w:r w:rsidR="002642E3" w:rsidRPr="009D0BAB">
        <w:rPr>
          <w:rFonts w:ascii="Times New Roman" w:eastAsia="Calibri" w:hAnsi="Times New Roman"/>
          <w:lang w:val="sr-Latn-RS"/>
        </w:rPr>
        <w:t xml:space="preserve"> Relativno osetnije povećanje su ostvarile i Bugarska i Crna Gora od 1,3 i 1,2 poena respektivno.</w:t>
      </w:r>
      <w:r w:rsidR="00E5451B" w:rsidRPr="009D0BAB">
        <w:rPr>
          <w:rFonts w:ascii="Times New Roman" w:eastAsia="Calibri" w:hAnsi="Times New Roman"/>
          <w:lang w:val="sr-Latn-RS"/>
        </w:rPr>
        <w:t xml:space="preserve"> Vrednost koju je zabeležila Srbija je bla</w:t>
      </w:r>
      <w:r w:rsidR="002642E3" w:rsidRPr="009D0BAB">
        <w:rPr>
          <w:rFonts w:ascii="Times New Roman" w:eastAsia="Calibri" w:hAnsi="Times New Roman"/>
          <w:lang w:val="sr-Latn-RS"/>
        </w:rPr>
        <w:t xml:space="preserve">go iznad prosečne vrednosti od 60,7 </w:t>
      </w:r>
      <w:r w:rsidR="00D175C4">
        <w:rPr>
          <w:rFonts w:ascii="Times New Roman" w:eastAsia="Calibri" w:hAnsi="Times New Roman"/>
          <w:lang w:val="sr-Latn-RS"/>
        </w:rPr>
        <w:t xml:space="preserve">poena za </w:t>
      </w:r>
      <w:r w:rsidR="002642E3" w:rsidRPr="009D0BAB">
        <w:rPr>
          <w:rFonts w:ascii="Times New Roman" w:eastAsia="Calibri" w:hAnsi="Times New Roman"/>
          <w:lang w:val="sr-Latn-RS"/>
        </w:rPr>
        <w:t>svih141. privredu koje</w:t>
      </w:r>
      <w:r w:rsidR="00D175C4">
        <w:rPr>
          <w:rFonts w:ascii="Times New Roman" w:eastAsia="Calibri" w:hAnsi="Times New Roman"/>
          <w:lang w:val="sr-Latn-RS"/>
        </w:rPr>
        <w:t xml:space="preserve"> su</w:t>
      </w:r>
      <w:r w:rsidR="002642E3" w:rsidRPr="009D0BAB">
        <w:rPr>
          <w:rFonts w:ascii="Times New Roman" w:eastAsia="Calibri" w:hAnsi="Times New Roman"/>
          <w:lang w:val="sr-Latn-RS"/>
        </w:rPr>
        <w:t xml:space="preserve"> ove godine obuhvaćene. Ipak, najveći broj zemalja iz neposrednog okruženja Srbije su ostvarile napredak u odnosu na prošlu godinu usled čega je i prosečna vrednost grupe povećana na 61,9</w:t>
      </w:r>
      <w:r w:rsidR="00752227" w:rsidRPr="009D0BAB">
        <w:rPr>
          <w:rFonts w:ascii="Times New Roman" w:eastAsia="Calibri" w:hAnsi="Times New Roman"/>
          <w:lang w:val="sr-Latn-RS"/>
        </w:rPr>
        <w:t xml:space="preserve"> </w:t>
      </w:r>
      <w:r w:rsidR="00591F6A">
        <w:rPr>
          <w:rFonts w:ascii="Times New Roman" w:eastAsia="Calibri" w:hAnsi="Times New Roman"/>
          <w:lang w:val="sr-Latn-RS"/>
        </w:rPr>
        <w:t xml:space="preserve">poena </w:t>
      </w:r>
      <w:r w:rsidR="00752227" w:rsidRPr="009D0BAB">
        <w:rPr>
          <w:rFonts w:ascii="Times New Roman" w:eastAsia="Calibri" w:hAnsi="Times New Roman"/>
          <w:lang w:val="sr-Latn-RS"/>
        </w:rPr>
        <w:t>što je iznad vrednosti Srbije za ovu godinu.</w:t>
      </w:r>
      <w:r w:rsidR="00173E26" w:rsidRPr="009D0BAB">
        <w:rPr>
          <w:rFonts w:ascii="Times New Roman" w:eastAsia="Calibri" w:hAnsi="Times New Roman"/>
          <w:lang w:val="sr-Latn-RS"/>
        </w:rPr>
        <w:t xml:space="preserve"> </w:t>
      </w:r>
    </w:p>
    <w:p w14:paraId="038C53DA" w14:textId="2D46897A" w:rsidR="00752227" w:rsidRPr="009D0BAB" w:rsidRDefault="00752227" w:rsidP="00E5451B">
      <w:pPr>
        <w:ind w:firstLine="708"/>
        <w:jc w:val="both"/>
        <w:rPr>
          <w:rFonts w:ascii="Times New Roman" w:eastAsia="Calibri" w:hAnsi="Times New Roman"/>
          <w:lang w:val="sr-Latn-RS"/>
        </w:rPr>
      </w:pPr>
      <w:r w:rsidRPr="009D0BAB">
        <w:rPr>
          <w:rFonts w:ascii="Times New Roman" w:eastAsia="Calibri" w:hAnsi="Times New Roman"/>
          <w:lang w:val="sr-Latn-RS"/>
        </w:rPr>
        <w:t>Sa vrednošću IG</w:t>
      </w:r>
      <w:r w:rsidR="00CE4E25">
        <w:rPr>
          <w:rFonts w:ascii="Times New Roman" w:eastAsia="Calibri" w:hAnsi="Times New Roman"/>
          <w:lang w:val="sr-Latn-RS"/>
        </w:rPr>
        <w:t>K</w:t>
      </w:r>
      <w:r w:rsidRPr="009D0BAB">
        <w:rPr>
          <w:rFonts w:ascii="Times New Roman" w:eastAsia="Calibri" w:hAnsi="Times New Roman"/>
          <w:lang w:val="sr-Latn-RS"/>
        </w:rPr>
        <w:t xml:space="preserve"> od 84,8 poena, n</w:t>
      </w:r>
      <w:r w:rsidR="00E55EBA" w:rsidRPr="009D0BAB">
        <w:rPr>
          <w:rFonts w:ascii="Times New Roman" w:eastAsia="Calibri" w:hAnsi="Times New Roman"/>
          <w:lang w:val="sr-Latn-RS"/>
        </w:rPr>
        <w:t xml:space="preserve">ajbolju poziciju na </w:t>
      </w:r>
      <w:r w:rsidRPr="009D0BAB">
        <w:rPr>
          <w:rFonts w:ascii="Times New Roman" w:eastAsia="Calibri" w:hAnsi="Times New Roman"/>
          <w:lang w:val="sr-Latn-RS"/>
        </w:rPr>
        <w:t>rang listi u 2019. godini zauzeo je Singapur</w:t>
      </w:r>
      <w:r w:rsidR="00E55EBA" w:rsidRPr="009D0BAB">
        <w:rPr>
          <w:rFonts w:ascii="Times New Roman" w:eastAsia="Calibri" w:hAnsi="Times New Roman"/>
          <w:lang w:val="sr-Latn-RS"/>
        </w:rPr>
        <w:t xml:space="preserve"> </w:t>
      </w:r>
      <w:r w:rsidRPr="009D0BAB">
        <w:rPr>
          <w:rFonts w:ascii="Times New Roman" w:eastAsia="Calibri" w:hAnsi="Times New Roman"/>
          <w:lang w:val="sr-Latn-RS"/>
        </w:rPr>
        <w:t xml:space="preserve">i time pretekao </w:t>
      </w:r>
      <w:r w:rsidR="00E55EBA" w:rsidRPr="009D0BAB">
        <w:rPr>
          <w:rFonts w:ascii="Times New Roman" w:eastAsia="Calibri" w:hAnsi="Times New Roman"/>
          <w:lang w:val="sr-Latn-RS"/>
        </w:rPr>
        <w:t xml:space="preserve">SAD </w:t>
      </w:r>
      <w:r w:rsidRPr="009D0BAB">
        <w:rPr>
          <w:rFonts w:ascii="Times New Roman" w:eastAsia="Calibri" w:hAnsi="Times New Roman"/>
          <w:lang w:val="sr-Latn-RS"/>
        </w:rPr>
        <w:t>koje su u ovoj godini potisnute na drugo mesto sa vrednošću IGK od 83,7</w:t>
      </w:r>
      <w:r w:rsidR="00E55EBA" w:rsidRPr="009D0BAB">
        <w:rPr>
          <w:rFonts w:ascii="Times New Roman" w:eastAsia="Calibri" w:hAnsi="Times New Roman"/>
          <w:lang w:val="sr-Latn-RS"/>
        </w:rPr>
        <w:t xml:space="preserve"> poena. </w:t>
      </w:r>
      <w:r w:rsidRPr="009D0BAB">
        <w:rPr>
          <w:rFonts w:ascii="Times New Roman" w:eastAsia="Calibri" w:hAnsi="Times New Roman"/>
          <w:lang w:val="sr-Latn-RS"/>
        </w:rPr>
        <w:t>Najveći napredak od privreda u vrhu liste ostvario je Hong Kong koji unapredio svoj rang za četiri mesta i našao se na trećoj poziciji dok su Holandija i Švajcarska na četvrtom i petom mestu.</w:t>
      </w:r>
    </w:p>
    <w:p w14:paraId="17F65F06" w14:textId="6B11CEED" w:rsidR="00CA7A4F" w:rsidRPr="009D0BAB" w:rsidRDefault="00E55EBA" w:rsidP="00E5451B">
      <w:pPr>
        <w:ind w:firstLine="708"/>
        <w:jc w:val="both"/>
        <w:rPr>
          <w:rFonts w:ascii="Times New Roman" w:eastAsia="Calibri" w:hAnsi="Times New Roman"/>
          <w:lang w:val="sr-Latn-RS"/>
        </w:rPr>
      </w:pPr>
      <w:r w:rsidRPr="009D0BAB">
        <w:rPr>
          <w:rFonts w:ascii="Times New Roman" w:eastAsia="Calibri" w:hAnsi="Times New Roman"/>
          <w:lang w:val="sr-Latn-RS"/>
        </w:rPr>
        <w:t xml:space="preserve">Najveću pozitivnu promenu rangova u odnosu na </w:t>
      </w:r>
      <w:r w:rsidR="003818F5" w:rsidRPr="009D0BAB">
        <w:rPr>
          <w:rFonts w:ascii="Times New Roman" w:eastAsia="Calibri" w:hAnsi="Times New Roman"/>
          <w:lang w:val="sr-Latn-RS"/>
        </w:rPr>
        <w:t>prethodnu</w:t>
      </w:r>
      <w:r w:rsidRPr="009D0BAB">
        <w:rPr>
          <w:rFonts w:ascii="Times New Roman" w:eastAsia="Calibri" w:hAnsi="Times New Roman"/>
          <w:lang w:val="sr-Latn-RS"/>
        </w:rPr>
        <w:t xml:space="preserve"> godinu ostvarili su </w:t>
      </w:r>
      <w:r w:rsidR="00752227" w:rsidRPr="009D0BAB">
        <w:rPr>
          <w:rFonts w:ascii="Times New Roman" w:eastAsia="Calibri" w:hAnsi="Times New Roman"/>
          <w:lang w:val="sr-Latn-RS"/>
        </w:rPr>
        <w:t>Azerbejdžan sa unapređenjem za 11</w:t>
      </w:r>
      <w:r w:rsidR="000B2862" w:rsidRPr="009D0BAB">
        <w:rPr>
          <w:rFonts w:ascii="Times New Roman" w:eastAsia="Calibri" w:hAnsi="Times New Roman"/>
          <w:lang w:val="sr-Latn-RS"/>
        </w:rPr>
        <w:t xml:space="preserve"> mesta</w:t>
      </w:r>
      <w:r w:rsidRPr="009D0BAB">
        <w:rPr>
          <w:rFonts w:ascii="Times New Roman" w:eastAsia="Calibri" w:hAnsi="Times New Roman"/>
          <w:lang w:val="sr-Latn-RS"/>
        </w:rPr>
        <w:t xml:space="preserve">, </w:t>
      </w:r>
      <w:r w:rsidR="000B2862" w:rsidRPr="009D0BAB">
        <w:rPr>
          <w:rFonts w:ascii="Times New Roman" w:eastAsia="Calibri" w:hAnsi="Times New Roman"/>
          <w:lang w:val="sr-Latn-RS"/>
        </w:rPr>
        <w:t xml:space="preserve">zatim </w:t>
      </w:r>
      <w:r w:rsidR="00752227" w:rsidRPr="009D0BAB">
        <w:rPr>
          <w:rFonts w:ascii="Times New Roman" w:eastAsia="Calibri" w:hAnsi="Times New Roman"/>
          <w:lang w:val="sr-Latn-RS"/>
        </w:rPr>
        <w:t xml:space="preserve">Vijetnam </w:t>
      </w:r>
      <w:r w:rsidR="000B2862" w:rsidRPr="009D0BAB">
        <w:rPr>
          <w:rFonts w:ascii="Times New Roman" w:eastAsia="Calibri" w:hAnsi="Times New Roman"/>
          <w:lang w:val="sr-Latn-RS"/>
        </w:rPr>
        <w:t xml:space="preserve">sa skokom </w:t>
      </w:r>
      <w:r w:rsidR="00752227" w:rsidRPr="009D0BAB">
        <w:rPr>
          <w:rFonts w:ascii="Times New Roman" w:eastAsia="Calibri" w:hAnsi="Times New Roman"/>
          <w:lang w:val="sr-Latn-RS"/>
        </w:rPr>
        <w:t>od 10</w:t>
      </w:r>
      <w:r w:rsidR="000B2862" w:rsidRPr="009D0BAB">
        <w:rPr>
          <w:rFonts w:ascii="Times New Roman" w:eastAsia="Calibri" w:hAnsi="Times New Roman"/>
          <w:lang w:val="sr-Latn-RS"/>
        </w:rPr>
        <w:t xml:space="preserve"> mesta na listi i</w:t>
      </w:r>
      <w:r w:rsidR="00752227" w:rsidRPr="009D0BAB">
        <w:rPr>
          <w:rFonts w:ascii="Times New Roman" w:eastAsia="Calibri" w:hAnsi="Times New Roman"/>
          <w:lang w:val="sr-Latn-RS"/>
        </w:rPr>
        <w:t xml:space="preserve"> Kuvajt i Ruanda</w:t>
      </w:r>
      <w:r w:rsidR="000B2862" w:rsidRPr="009D0BAB">
        <w:rPr>
          <w:rFonts w:ascii="Times New Roman" w:eastAsia="Calibri" w:hAnsi="Times New Roman"/>
          <w:lang w:val="sr-Latn-RS"/>
        </w:rPr>
        <w:t xml:space="preserve"> koji su poboljšali rang za 10 po</w:t>
      </w:r>
      <w:r w:rsidR="00AA1D74" w:rsidRPr="009D0BAB">
        <w:rPr>
          <w:rFonts w:ascii="Times New Roman" w:eastAsia="Calibri" w:hAnsi="Times New Roman"/>
          <w:lang w:val="sr-Latn-RS"/>
        </w:rPr>
        <w:t>zicija. Najveće pogoršanje</w:t>
      </w:r>
      <w:r w:rsidR="001126E2" w:rsidRPr="009D0BAB">
        <w:rPr>
          <w:rFonts w:ascii="Times New Roman" w:eastAsia="Calibri" w:hAnsi="Times New Roman"/>
          <w:lang w:val="sr-Latn-RS"/>
        </w:rPr>
        <w:t xml:space="preserve"> ranga </w:t>
      </w:r>
      <w:r w:rsidR="000B2862" w:rsidRPr="009D0BAB">
        <w:rPr>
          <w:rFonts w:ascii="Times New Roman" w:eastAsia="Calibri" w:hAnsi="Times New Roman"/>
          <w:lang w:val="sr-Latn-RS"/>
        </w:rPr>
        <w:t>ostvarili</w:t>
      </w:r>
      <w:r w:rsidR="001126E2" w:rsidRPr="009D0BAB">
        <w:rPr>
          <w:rFonts w:ascii="Times New Roman" w:eastAsia="Calibri" w:hAnsi="Times New Roman"/>
          <w:lang w:val="sr-Latn-RS"/>
        </w:rPr>
        <w:t xml:space="preserve"> su Iran i Indija koji su zabeležili pad od</w:t>
      </w:r>
      <w:r w:rsidR="000B2862" w:rsidRPr="009D0BAB">
        <w:rPr>
          <w:rFonts w:ascii="Times New Roman" w:eastAsia="Calibri" w:hAnsi="Times New Roman"/>
          <w:lang w:val="sr-Latn-RS"/>
        </w:rPr>
        <w:t xml:space="preserve"> 10 mesta</w:t>
      </w:r>
      <w:r w:rsidR="001126E2" w:rsidRPr="009D0BAB">
        <w:rPr>
          <w:rFonts w:ascii="Times New Roman" w:eastAsia="Calibri" w:hAnsi="Times New Roman"/>
          <w:lang w:val="sr-Latn-RS"/>
        </w:rPr>
        <w:t xml:space="preserve"> u odnosu na prošlu godinu</w:t>
      </w:r>
      <w:r w:rsidR="000B2862" w:rsidRPr="009D0BAB">
        <w:rPr>
          <w:rFonts w:ascii="Times New Roman" w:eastAsia="Calibri" w:hAnsi="Times New Roman"/>
          <w:lang w:val="sr-Latn-RS"/>
        </w:rPr>
        <w:t xml:space="preserve">, </w:t>
      </w:r>
      <w:r w:rsidR="001126E2" w:rsidRPr="009D0BAB">
        <w:rPr>
          <w:rFonts w:ascii="Times New Roman" w:eastAsia="Calibri" w:hAnsi="Times New Roman"/>
          <w:lang w:val="sr-Latn-RS"/>
        </w:rPr>
        <w:t xml:space="preserve">dok su Gruzija i Liban pali za </w:t>
      </w:r>
      <w:r w:rsidR="000B2862" w:rsidRPr="009D0BAB">
        <w:rPr>
          <w:rFonts w:ascii="Times New Roman" w:eastAsia="Calibri" w:hAnsi="Times New Roman"/>
          <w:lang w:val="sr-Latn-RS"/>
        </w:rPr>
        <w:t xml:space="preserve">osam mesta u odnosu na rang iz prošle godine. </w:t>
      </w:r>
    </w:p>
    <w:p w14:paraId="58713C88" w14:textId="1E38F7F2" w:rsidR="005563BB" w:rsidRPr="009D0BAB" w:rsidRDefault="00E5451B" w:rsidP="00E5451B">
      <w:pPr>
        <w:ind w:firstLine="708"/>
        <w:jc w:val="both"/>
        <w:rPr>
          <w:rFonts w:ascii="Times New Roman" w:eastAsia="Calibri" w:hAnsi="Times New Roman"/>
          <w:lang w:val="sr-Latn-RS"/>
        </w:rPr>
      </w:pPr>
      <w:r w:rsidRPr="009D0BAB">
        <w:rPr>
          <w:rFonts w:ascii="Times New Roman" w:eastAsia="Calibri" w:hAnsi="Times New Roman"/>
          <w:lang w:val="sr-Latn-RS"/>
        </w:rPr>
        <w:t xml:space="preserve">Promene </w:t>
      </w:r>
      <w:r w:rsidR="000B2862" w:rsidRPr="009D0BAB">
        <w:rPr>
          <w:rFonts w:ascii="Times New Roman" w:eastAsia="Calibri" w:hAnsi="Times New Roman"/>
          <w:lang w:val="sr-Latn-RS"/>
        </w:rPr>
        <w:t xml:space="preserve">vrednosti IGK za zemlje iz okruženja </w:t>
      </w:r>
      <w:r w:rsidR="005563BB" w:rsidRPr="009D0BAB">
        <w:rPr>
          <w:rFonts w:ascii="Times New Roman" w:eastAsia="Calibri" w:hAnsi="Times New Roman"/>
          <w:lang w:val="sr-Latn-RS"/>
        </w:rPr>
        <w:t xml:space="preserve">Srbije </w:t>
      </w:r>
      <w:r w:rsidRPr="009D0BAB">
        <w:rPr>
          <w:rFonts w:ascii="Times New Roman" w:eastAsia="Calibri" w:hAnsi="Times New Roman"/>
          <w:lang w:val="sr-Latn-RS"/>
        </w:rPr>
        <w:t xml:space="preserve">se odrazile na </w:t>
      </w:r>
      <w:r w:rsidR="005563BB" w:rsidRPr="009D0BAB">
        <w:rPr>
          <w:rFonts w:ascii="Times New Roman" w:eastAsia="Calibri" w:hAnsi="Times New Roman"/>
          <w:lang w:val="sr-Latn-RS"/>
        </w:rPr>
        <w:t xml:space="preserve">njihove relativne pozicije ali ne nužno u istom smeru. </w:t>
      </w:r>
      <w:r w:rsidR="000B2862" w:rsidRPr="009D0BAB">
        <w:rPr>
          <w:rFonts w:ascii="Times New Roman" w:eastAsia="Calibri" w:hAnsi="Times New Roman"/>
          <w:lang w:val="sr-Latn-RS"/>
        </w:rPr>
        <w:t xml:space="preserve">Podaci o ostvarenim pozicijama u ovoj godini prikazani u Tabeli 2 pokazuju da je </w:t>
      </w:r>
      <w:r w:rsidR="005563BB" w:rsidRPr="009D0BAB">
        <w:rPr>
          <w:rFonts w:ascii="Times New Roman" w:eastAsia="Calibri" w:hAnsi="Times New Roman"/>
          <w:lang w:val="sr-Latn-RS"/>
        </w:rPr>
        <w:t xml:space="preserve">Bosna i </w:t>
      </w:r>
      <w:r w:rsidR="003818F5" w:rsidRPr="009D0BAB">
        <w:rPr>
          <w:rFonts w:ascii="Times New Roman" w:eastAsia="Calibri" w:hAnsi="Times New Roman"/>
          <w:lang w:val="sr-Latn-RS"/>
        </w:rPr>
        <w:t>Hercegovina</w:t>
      </w:r>
      <w:r w:rsidR="005563BB" w:rsidRPr="009D0BAB">
        <w:rPr>
          <w:rFonts w:ascii="Times New Roman" w:eastAsia="Calibri" w:hAnsi="Times New Roman"/>
          <w:lang w:val="sr-Latn-RS"/>
        </w:rPr>
        <w:t xml:space="preserve"> </w:t>
      </w:r>
      <w:r w:rsidR="003818F5" w:rsidRPr="009D0BAB">
        <w:rPr>
          <w:rFonts w:ascii="Times New Roman" w:eastAsia="Calibri" w:hAnsi="Times New Roman"/>
          <w:lang w:val="sr-Latn-RS"/>
        </w:rPr>
        <w:t>uprkos</w:t>
      </w:r>
      <w:r w:rsidR="005563BB" w:rsidRPr="009D0BAB">
        <w:rPr>
          <w:rFonts w:ascii="Times New Roman" w:eastAsia="Calibri" w:hAnsi="Times New Roman"/>
          <w:lang w:val="sr-Latn-RS"/>
        </w:rPr>
        <w:t xml:space="preserve"> blagom poboljšanju </w:t>
      </w:r>
      <w:r w:rsidR="003818F5" w:rsidRPr="009D0BAB">
        <w:rPr>
          <w:rFonts w:ascii="Times New Roman" w:eastAsia="Calibri" w:hAnsi="Times New Roman"/>
          <w:lang w:val="sr-Latn-RS"/>
        </w:rPr>
        <w:t>vrednosti</w:t>
      </w:r>
      <w:r w:rsidR="005563BB" w:rsidRPr="009D0BAB">
        <w:rPr>
          <w:rFonts w:ascii="Times New Roman" w:eastAsia="Calibri" w:hAnsi="Times New Roman"/>
          <w:lang w:val="sr-Latn-RS"/>
        </w:rPr>
        <w:t xml:space="preserve"> IGK u odnosu na 2018. godinu pogoršala svoju poziciju za jedno m</w:t>
      </w:r>
      <w:r w:rsidR="001F5427">
        <w:rPr>
          <w:rFonts w:ascii="Times New Roman" w:eastAsia="Calibri" w:hAnsi="Times New Roman"/>
          <w:lang w:val="sr-Latn-RS"/>
        </w:rPr>
        <w:t>esto na listi, dok je Crna Gora</w:t>
      </w:r>
      <w:r w:rsidR="005563BB" w:rsidRPr="009D0BAB">
        <w:rPr>
          <w:rFonts w:ascii="Times New Roman" w:eastAsia="Calibri" w:hAnsi="Times New Roman"/>
          <w:lang w:val="sr-Latn-RS"/>
        </w:rPr>
        <w:t xml:space="preserve"> uprkos povećanju vrednosti IGK za 1,2 poena skliznula dva mesta niže na rang listi. </w:t>
      </w:r>
      <w:r w:rsidRPr="009D0BAB">
        <w:rPr>
          <w:rFonts w:ascii="Times New Roman" w:eastAsia="Calibri" w:hAnsi="Times New Roman"/>
          <w:lang w:val="sr-Latn-RS"/>
        </w:rPr>
        <w:t xml:space="preserve">Srbija </w:t>
      </w:r>
      <w:r w:rsidR="005563BB" w:rsidRPr="009D0BAB">
        <w:rPr>
          <w:rFonts w:ascii="Times New Roman" w:eastAsia="Calibri" w:hAnsi="Times New Roman"/>
          <w:lang w:val="sr-Latn-RS"/>
        </w:rPr>
        <w:t>koja je ostvarila istu vrednost IGK kao u 2018.</w:t>
      </w:r>
      <w:r w:rsidR="001F5427">
        <w:rPr>
          <w:rFonts w:ascii="Times New Roman" w:eastAsia="Calibri" w:hAnsi="Times New Roman"/>
          <w:lang w:val="sr-Latn-RS"/>
        </w:rPr>
        <w:t xml:space="preserve"> </w:t>
      </w:r>
      <w:r w:rsidR="005563BB" w:rsidRPr="009D0BAB">
        <w:rPr>
          <w:rFonts w:ascii="Times New Roman" w:eastAsia="Calibri" w:hAnsi="Times New Roman"/>
          <w:lang w:val="sr-Latn-RS"/>
        </w:rPr>
        <w:t>godini je usled boljih rezultata koje su ostvarile privrede iz neposrednog okruženja na rang listi</w:t>
      </w:r>
      <w:r w:rsidR="001F5427">
        <w:rPr>
          <w:rFonts w:ascii="Times New Roman" w:eastAsia="Calibri" w:hAnsi="Times New Roman"/>
          <w:lang w:val="sr-Latn-RS"/>
        </w:rPr>
        <w:t>,</w:t>
      </w:r>
      <w:r w:rsidR="005563BB" w:rsidRPr="009D0BAB">
        <w:rPr>
          <w:rFonts w:ascii="Times New Roman" w:eastAsia="Calibri" w:hAnsi="Times New Roman"/>
          <w:lang w:val="sr-Latn-RS"/>
        </w:rPr>
        <w:t xml:space="preserve"> pala za sedam mesta na poziciju 72 dok je Albanija u skladu sa pogoršanjem vrednosti IGK zabeležila očekivani pad plasmana za 5 mesta. </w:t>
      </w:r>
      <w:r w:rsidR="00F93E15" w:rsidRPr="009D0BAB">
        <w:rPr>
          <w:rFonts w:ascii="Times New Roman" w:eastAsia="Calibri" w:hAnsi="Times New Roman"/>
          <w:lang w:val="sr-Latn-RS"/>
        </w:rPr>
        <w:t xml:space="preserve">Ako isključimo Sloveniju koja je zabeležila istu poziciju na listi uprkos nešto višoj </w:t>
      </w:r>
      <w:r w:rsidR="003818F5" w:rsidRPr="009D0BAB">
        <w:rPr>
          <w:rFonts w:ascii="Times New Roman" w:eastAsia="Calibri" w:hAnsi="Times New Roman"/>
          <w:lang w:val="sr-Latn-RS"/>
        </w:rPr>
        <w:t>vrednosti</w:t>
      </w:r>
      <w:r w:rsidR="001F5427">
        <w:rPr>
          <w:rFonts w:ascii="Times New Roman" w:eastAsia="Calibri" w:hAnsi="Times New Roman"/>
          <w:lang w:val="sr-Latn-RS"/>
        </w:rPr>
        <w:t xml:space="preserve"> I</w:t>
      </w:r>
      <w:r w:rsidR="00F93E15" w:rsidRPr="009D0BAB">
        <w:rPr>
          <w:rFonts w:ascii="Times New Roman" w:eastAsia="Calibri" w:hAnsi="Times New Roman"/>
          <w:lang w:val="sr-Latn-RS"/>
        </w:rPr>
        <w:t>G</w:t>
      </w:r>
      <w:r w:rsidR="001F5427">
        <w:rPr>
          <w:rFonts w:ascii="Times New Roman" w:eastAsia="Calibri" w:hAnsi="Times New Roman"/>
          <w:lang w:val="sr-Latn-RS"/>
        </w:rPr>
        <w:t>K</w:t>
      </w:r>
      <w:r w:rsidR="00F93E15" w:rsidRPr="009D0BAB">
        <w:rPr>
          <w:rFonts w:ascii="Times New Roman" w:eastAsia="Calibri" w:hAnsi="Times New Roman"/>
          <w:lang w:val="sr-Latn-RS"/>
        </w:rPr>
        <w:t xml:space="preserve"> u odnosu na prošlu godinu, o</w:t>
      </w:r>
      <w:r w:rsidR="005563BB" w:rsidRPr="009D0BAB">
        <w:rPr>
          <w:rFonts w:ascii="Times New Roman" w:eastAsia="Calibri" w:hAnsi="Times New Roman"/>
          <w:lang w:val="sr-Latn-RS"/>
        </w:rPr>
        <w:t>stale privrede koje su povećale vrednost IGK su zabeležile i poboljšanje</w:t>
      </w:r>
      <w:r w:rsidR="00F93E15" w:rsidRPr="009D0BAB">
        <w:rPr>
          <w:rFonts w:ascii="Times New Roman" w:eastAsia="Calibri" w:hAnsi="Times New Roman"/>
          <w:lang w:val="sr-Latn-RS"/>
        </w:rPr>
        <w:t xml:space="preserve"> ranga. Ovo je </w:t>
      </w:r>
      <w:r w:rsidR="005563BB" w:rsidRPr="009D0BAB">
        <w:rPr>
          <w:rFonts w:ascii="Times New Roman" w:eastAsia="Calibri" w:hAnsi="Times New Roman"/>
          <w:lang w:val="sr-Latn-RS"/>
        </w:rPr>
        <w:t xml:space="preserve">najizraženije u slučaju </w:t>
      </w:r>
      <w:r w:rsidR="00F93E15" w:rsidRPr="009D0BAB">
        <w:rPr>
          <w:rFonts w:ascii="Times New Roman" w:eastAsia="Calibri" w:hAnsi="Times New Roman"/>
          <w:lang w:val="sr-Latn-RS"/>
        </w:rPr>
        <w:t>Hrvatske</w:t>
      </w:r>
      <w:r w:rsidR="005563BB" w:rsidRPr="009D0BAB">
        <w:rPr>
          <w:rFonts w:ascii="Times New Roman" w:eastAsia="Calibri" w:hAnsi="Times New Roman"/>
          <w:lang w:val="sr-Latn-RS"/>
        </w:rPr>
        <w:t xml:space="preserve"> koja je </w:t>
      </w:r>
      <w:r w:rsidR="00F93E15" w:rsidRPr="009D0BAB">
        <w:rPr>
          <w:rFonts w:ascii="Times New Roman" w:eastAsia="Calibri" w:hAnsi="Times New Roman"/>
          <w:lang w:val="sr-Latn-RS"/>
        </w:rPr>
        <w:t>poboljšala svoj plasman za 5</w:t>
      </w:r>
      <w:r w:rsidR="005563BB" w:rsidRPr="009D0BAB">
        <w:rPr>
          <w:rFonts w:ascii="Times New Roman" w:eastAsia="Calibri" w:hAnsi="Times New Roman"/>
          <w:lang w:val="sr-Latn-RS"/>
        </w:rPr>
        <w:t xml:space="preserve"> mesta </w:t>
      </w:r>
      <w:r w:rsidR="00F93E15" w:rsidRPr="009D0BAB">
        <w:rPr>
          <w:rFonts w:ascii="Times New Roman" w:eastAsia="Calibri" w:hAnsi="Times New Roman"/>
          <w:lang w:val="sr-Latn-RS"/>
        </w:rPr>
        <w:t xml:space="preserve">dok su ostale </w:t>
      </w:r>
      <w:r w:rsidR="003818F5" w:rsidRPr="009D0BAB">
        <w:rPr>
          <w:rFonts w:ascii="Times New Roman" w:eastAsia="Calibri" w:hAnsi="Times New Roman"/>
          <w:lang w:val="sr-Latn-RS"/>
        </w:rPr>
        <w:t>privreda</w:t>
      </w:r>
      <w:r w:rsidR="00F93E15" w:rsidRPr="009D0BAB">
        <w:rPr>
          <w:rFonts w:ascii="Times New Roman" w:eastAsia="Calibri" w:hAnsi="Times New Roman"/>
          <w:lang w:val="sr-Latn-RS"/>
        </w:rPr>
        <w:t xml:space="preserve"> pomerile svoju poziciju za jedno do dva mesta bliže vrhu. Imajući u vidu ova pomeranja Srbija je sada u odnosu na Sloveniju kao najbolje plasiranu privredu iz neposrednog okruženja lošije rangirana za 37 pozicija i</w:t>
      </w:r>
      <w:r w:rsidR="001F5427">
        <w:rPr>
          <w:rFonts w:ascii="Times New Roman" w:eastAsia="Calibri" w:hAnsi="Times New Roman"/>
          <w:lang w:val="sr-Latn-RS"/>
        </w:rPr>
        <w:t xml:space="preserve"> sa</w:t>
      </w:r>
      <w:r w:rsidR="00F93E15" w:rsidRPr="009D0BAB">
        <w:rPr>
          <w:rFonts w:ascii="Times New Roman" w:eastAsia="Calibri" w:hAnsi="Times New Roman"/>
          <w:lang w:val="sr-Latn-RS"/>
        </w:rPr>
        <w:t xml:space="preserve"> zaostatkom u vrednosti IGK od gotovo 10 poena. </w:t>
      </w:r>
    </w:p>
    <w:p w14:paraId="096BAA30" w14:textId="77777777" w:rsidR="00E5451B" w:rsidRPr="009D0BAB" w:rsidRDefault="00E5451B" w:rsidP="00E5451B">
      <w:pPr>
        <w:jc w:val="both"/>
        <w:rPr>
          <w:rFonts w:ascii="Times New Roman" w:eastAsia="Calibri" w:hAnsi="Times New Roman"/>
          <w:b/>
          <w:lang w:val="sr-Latn-RS"/>
        </w:rPr>
      </w:pPr>
    </w:p>
    <w:p w14:paraId="026CBC59" w14:textId="1B42DDF4" w:rsidR="00E5451B" w:rsidRPr="009D0BAB" w:rsidRDefault="00E5451B" w:rsidP="00E5451B">
      <w:pPr>
        <w:jc w:val="both"/>
        <w:rPr>
          <w:rFonts w:ascii="Times New Roman" w:eastAsia="Calibri" w:hAnsi="Times New Roman"/>
          <w:lang w:val="sr-Latn-RS"/>
        </w:rPr>
      </w:pPr>
      <w:r w:rsidRPr="009D0BAB">
        <w:rPr>
          <w:rFonts w:ascii="Times New Roman" w:eastAsia="Calibri" w:hAnsi="Times New Roman"/>
          <w:b/>
          <w:lang w:val="sr-Latn-RS"/>
        </w:rPr>
        <w:t>Tabela 2.</w:t>
      </w:r>
      <w:r w:rsidRPr="009D0BAB">
        <w:rPr>
          <w:rFonts w:ascii="Times New Roman" w:eastAsia="Calibri" w:hAnsi="Times New Roman"/>
          <w:lang w:val="sr-Latn-RS"/>
        </w:rPr>
        <w:t xml:space="preserve"> Rang zemalja prema Indeksu globalne konkurentnosti (2017-201</w:t>
      </w:r>
      <w:r w:rsidR="00A40195" w:rsidRPr="009D0BAB">
        <w:rPr>
          <w:rFonts w:ascii="Times New Roman" w:eastAsia="Calibri" w:hAnsi="Times New Roman"/>
          <w:lang w:val="sr-Latn-RS"/>
        </w:rPr>
        <w:t>9</w:t>
      </w:r>
      <w:r w:rsidRPr="009D0BAB">
        <w:rPr>
          <w:rFonts w:ascii="Times New Roman" w:eastAsia="Calibri" w:hAnsi="Times New Roman"/>
          <w:lang w:val="sr-Latn-RS"/>
        </w:rPr>
        <w:t xml:space="preserve">.) </w:t>
      </w:r>
    </w:p>
    <w:tbl>
      <w:tblPr>
        <w:tblW w:w="6966" w:type="dxa"/>
        <w:jc w:val="center"/>
        <w:tblLayout w:type="fixed"/>
        <w:tblLook w:val="04A0" w:firstRow="1" w:lastRow="0" w:firstColumn="1" w:lastColumn="0" w:noHBand="0" w:noVBand="1"/>
      </w:tblPr>
      <w:tblGrid>
        <w:gridCol w:w="1991"/>
        <w:gridCol w:w="973"/>
        <w:gridCol w:w="1092"/>
        <w:gridCol w:w="906"/>
        <w:gridCol w:w="2004"/>
      </w:tblGrid>
      <w:tr w:rsidR="001F5BAE" w:rsidRPr="009D0BAB" w14:paraId="64420F50" w14:textId="77777777" w:rsidTr="00C14754">
        <w:trPr>
          <w:trHeight w:val="296"/>
          <w:jc w:val="center"/>
        </w:trPr>
        <w:tc>
          <w:tcPr>
            <w:tcW w:w="1991" w:type="dxa"/>
            <w:tcBorders>
              <w:top w:val="single" w:sz="6" w:space="0" w:color="000000"/>
              <w:bottom w:val="single" w:sz="12" w:space="0" w:color="000000"/>
              <w:right w:val="single" w:sz="12" w:space="0" w:color="000000"/>
            </w:tcBorders>
            <w:shd w:val="clear" w:color="auto" w:fill="auto"/>
            <w:noWrap/>
            <w:vAlign w:val="center"/>
          </w:tcPr>
          <w:p w14:paraId="20824BB2" w14:textId="77777777" w:rsidR="001F5BAE" w:rsidRPr="009D0BAB" w:rsidRDefault="001F5BAE" w:rsidP="008E0F0C">
            <w:pPr>
              <w:jc w:val="center"/>
              <w:rPr>
                <w:rFonts w:ascii="Times New Roman" w:eastAsia="Calibri" w:hAnsi="Times New Roman"/>
                <w:bCs/>
                <w:color w:val="000000"/>
                <w:sz w:val="18"/>
                <w:szCs w:val="18"/>
                <w:lang w:val="sr-Latn-RS"/>
              </w:rPr>
            </w:pPr>
          </w:p>
        </w:tc>
        <w:tc>
          <w:tcPr>
            <w:tcW w:w="973" w:type="dxa"/>
            <w:tcBorders>
              <w:top w:val="single" w:sz="6" w:space="0" w:color="000000"/>
              <w:bottom w:val="single" w:sz="12" w:space="0" w:color="000000"/>
            </w:tcBorders>
            <w:shd w:val="clear" w:color="auto" w:fill="auto"/>
            <w:vAlign w:val="center"/>
          </w:tcPr>
          <w:p w14:paraId="419EA955" w14:textId="351E7C9E"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2017</w:t>
            </w:r>
            <w:r w:rsidRPr="009D0BAB">
              <w:rPr>
                <w:rFonts w:ascii="Times New Roman" w:hAnsi="Times New Roman"/>
                <w:color w:val="000000"/>
                <w:sz w:val="18"/>
                <w:szCs w:val="18"/>
                <w:vertAlign w:val="superscript"/>
                <w:lang w:val="sr-Latn-RS"/>
              </w:rPr>
              <w:t>1</w:t>
            </w:r>
          </w:p>
        </w:tc>
        <w:tc>
          <w:tcPr>
            <w:tcW w:w="1092" w:type="dxa"/>
            <w:tcBorders>
              <w:top w:val="single" w:sz="6" w:space="0" w:color="000000"/>
              <w:bottom w:val="single" w:sz="12" w:space="0" w:color="000000"/>
            </w:tcBorders>
            <w:vAlign w:val="center"/>
          </w:tcPr>
          <w:p w14:paraId="7ED2FF29" w14:textId="34798635"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2018</w:t>
            </w:r>
            <w:r w:rsidRPr="009D0BAB">
              <w:rPr>
                <w:rFonts w:ascii="Times New Roman" w:hAnsi="Times New Roman"/>
                <w:color w:val="000000"/>
                <w:sz w:val="18"/>
                <w:szCs w:val="18"/>
                <w:vertAlign w:val="superscript"/>
                <w:lang w:val="sr-Latn-RS"/>
              </w:rPr>
              <w:t>2</w:t>
            </w:r>
          </w:p>
        </w:tc>
        <w:tc>
          <w:tcPr>
            <w:tcW w:w="906" w:type="dxa"/>
            <w:tcBorders>
              <w:top w:val="single" w:sz="6" w:space="0" w:color="000000"/>
              <w:bottom w:val="single" w:sz="12" w:space="0" w:color="000000"/>
            </w:tcBorders>
            <w:vAlign w:val="center"/>
          </w:tcPr>
          <w:p w14:paraId="3283F84A" w14:textId="5A5459D2"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2018</w:t>
            </w:r>
            <w:r w:rsidR="00C14754" w:rsidRPr="009D0BAB">
              <w:rPr>
                <w:rFonts w:ascii="Times New Roman" w:hAnsi="Times New Roman"/>
                <w:color w:val="000000"/>
                <w:sz w:val="18"/>
                <w:szCs w:val="18"/>
                <w:vertAlign w:val="superscript"/>
                <w:lang w:val="sr-Latn-RS"/>
              </w:rPr>
              <w:t>3</w:t>
            </w:r>
          </w:p>
        </w:tc>
        <w:tc>
          <w:tcPr>
            <w:tcW w:w="2004" w:type="dxa"/>
            <w:tcBorders>
              <w:top w:val="single" w:sz="6" w:space="0" w:color="000000"/>
              <w:bottom w:val="single" w:sz="12" w:space="0" w:color="000000"/>
            </w:tcBorders>
            <w:vAlign w:val="center"/>
          </w:tcPr>
          <w:p w14:paraId="7F93CD90" w14:textId="5093006B"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Promena u odnosu na prethodnu godinu</w:t>
            </w:r>
          </w:p>
        </w:tc>
      </w:tr>
      <w:tr w:rsidR="001F5BAE" w:rsidRPr="009D0BAB" w14:paraId="345E8555" w14:textId="77777777" w:rsidTr="00C14754">
        <w:trPr>
          <w:trHeight w:val="255"/>
          <w:jc w:val="center"/>
        </w:trPr>
        <w:tc>
          <w:tcPr>
            <w:tcW w:w="1991" w:type="dxa"/>
            <w:tcBorders>
              <w:bottom w:val="single" w:sz="6" w:space="0" w:color="000000"/>
              <w:right w:val="single" w:sz="12" w:space="0" w:color="000000"/>
            </w:tcBorders>
            <w:shd w:val="clear" w:color="auto" w:fill="D9E2F3"/>
            <w:noWrap/>
            <w:vAlign w:val="center"/>
          </w:tcPr>
          <w:p w14:paraId="55524F98"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Albanija</w:t>
            </w:r>
          </w:p>
        </w:tc>
        <w:tc>
          <w:tcPr>
            <w:tcW w:w="973" w:type="dxa"/>
            <w:tcBorders>
              <w:bottom w:val="single" w:sz="6" w:space="0" w:color="000000"/>
            </w:tcBorders>
            <w:shd w:val="clear" w:color="auto" w:fill="D9E2F3"/>
            <w:vAlign w:val="center"/>
          </w:tcPr>
          <w:p w14:paraId="51C46AC3"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80</w:t>
            </w:r>
          </w:p>
        </w:tc>
        <w:tc>
          <w:tcPr>
            <w:tcW w:w="1092" w:type="dxa"/>
            <w:tcBorders>
              <w:bottom w:val="single" w:sz="6" w:space="0" w:color="000000"/>
            </w:tcBorders>
            <w:shd w:val="clear" w:color="auto" w:fill="D9E2F3"/>
            <w:vAlign w:val="center"/>
          </w:tcPr>
          <w:p w14:paraId="77408DEF"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76</w:t>
            </w:r>
          </w:p>
        </w:tc>
        <w:tc>
          <w:tcPr>
            <w:tcW w:w="906" w:type="dxa"/>
            <w:tcBorders>
              <w:bottom w:val="single" w:sz="6" w:space="0" w:color="000000"/>
            </w:tcBorders>
            <w:shd w:val="clear" w:color="auto" w:fill="D9E2F3"/>
            <w:vAlign w:val="center"/>
          </w:tcPr>
          <w:p w14:paraId="20C30C49" w14:textId="2A45EC22"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81</w:t>
            </w:r>
          </w:p>
        </w:tc>
        <w:tc>
          <w:tcPr>
            <w:tcW w:w="2004" w:type="dxa"/>
            <w:tcBorders>
              <w:bottom w:val="single" w:sz="6" w:space="0" w:color="000000"/>
            </w:tcBorders>
            <w:shd w:val="clear" w:color="auto" w:fill="D9E2F3"/>
            <w:vAlign w:val="center"/>
          </w:tcPr>
          <w:p w14:paraId="0291F487" w14:textId="6EE2E7C1"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red"/>
                <w:lang w:val="sr-Latn-RS"/>
              </w:rPr>
              <w:t>↘</w:t>
            </w:r>
          </w:p>
        </w:tc>
      </w:tr>
      <w:tr w:rsidR="001F5BAE" w:rsidRPr="009D0BAB" w14:paraId="561F7500" w14:textId="77777777" w:rsidTr="00C14754">
        <w:trPr>
          <w:trHeight w:val="255"/>
          <w:jc w:val="center"/>
        </w:trPr>
        <w:tc>
          <w:tcPr>
            <w:tcW w:w="1991" w:type="dxa"/>
            <w:tcBorders>
              <w:right w:val="single" w:sz="12" w:space="0" w:color="000000"/>
            </w:tcBorders>
            <w:shd w:val="clear" w:color="auto" w:fill="auto"/>
            <w:noWrap/>
            <w:vAlign w:val="center"/>
          </w:tcPr>
          <w:p w14:paraId="292DE0C1"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Bosna i Hercegovina</w:t>
            </w:r>
          </w:p>
        </w:tc>
        <w:tc>
          <w:tcPr>
            <w:tcW w:w="973" w:type="dxa"/>
            <w:shd w:val="clear" w:color="auto" w:fill="auto"/>
            <w:vAlign w:val="center"/>
          </w:tcPr>
          <w:p w14:paraId="6014128B"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90</w:t>
            </w:r>
          </w:p>
        </w:tc>
        <w:tc>
          <w:tcPr>
            <w:tcW w:w="1092" w:type="dxa"/>
            <w:vAlign w:val="center"/>
          </w:tcPr>
          <w:p w14:paraId="7D1854CE"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91</w:t>
            </w:r>
          </w:p>
        </w:tc>
        <w:tc>
          <w:tcPr>
            <w:tcW w:w="906" w:type="dxa"/>
            <w:vAlign w:val="center"/>
          </w:tcPr>
          <w:p w14:paraId="24E9E98E" w14:textId="7AADCD40"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92</w:t>
            </w:r>
          </w:p>
        </w:tc>
        <w:tc>
          <w:tcPr>
            <w:tcW w:w="2004" w:type="dxa"/>
            <w:vAlign w:val="center"/>
          </w:tcPr>
          <w:p w14:paraId="297A5BC6" w14:textId="75BB138C" w:rsidR="001F5BAE" w:rsidRPr="009D0BAB" w:rsidRDefault="001F5BAE" w:rsidP="008E0F0C">
            <w:pPr>
              <w:jc w:val="center"/>
              <w:rPr>
                <w:rFonts w:ascii="Times New Roman" w:hAnsi="Times New Roman"/>
                <w:b/>
                <w:color w:val="000000" w:themeColor="text1"/>
                <w:sz w:val="18"/>
                <w:szCs w:val="18"/>
                <w:lang w:val="sr-Latn-RS"/>
              </w:rPr>
            </w:pPr>
            <w:r w:rsidRPr="009D0BAB">
              <w:rPr>
                <w:rFonts w:ascii="Cambria Math" w:hAnsi="Cambria Math" w:cs="Cambria Math"/>
                <w:b/>
                <w:color w:val="000000" w:themeColor="text1"/>
                <w:sz w:val="18"/>
                <w:szCs w:val="18"/>
                <w:highlight w:val="red"/>
                <w:lang w:val="sr-Latn-RS"/>
              </w:rPr>
              <w:t>↘</w:t>
            </w:r>
          </w:p>
        </w:tc>
      </w:tr>
      <w:tr w:rsidR="001F5BAE" w:rsidRPr="009D0BAB" w14:paraId="03608B0F" w14:textId="77777777" w:rsidTr="00C14754">
        <w:trPr>
          <w:trHeight w:val="255"/>
          <w:jc w:val="center"/>
        </w:trPr>
        <w:tc>
          <w:tcPr>
            <w:tcW w:w="1991" w:type="dxa"/>
            <w:tcBorders>
              <w:bottom w:val="single" w:sz="6" w:space="0" w:color="000000"/>
              <w:right w:val="single" w:sz="12" w:space="0" w:color="000000"/>
            </w:tcBorders>
            <w:shd w:val="clear" w:color="auto" w:fill="D9E2F3"/>
            <w:noWrap/>
            <w:vAlign w:val="center"/>
          </w:tcPr>
          <w:p w14:paraId="0FD85213"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Bugarska</w:t>
            </w:r>
          </w:p>
        </w:tc>
        <w:tc>
          <w:tcPr>
            <w:tcW w:w="973" w:type="dxa"/>
            <w:tcBorders>
              <w:bottom w:val="single" w:sz="6" w:space="0" w:color="000000"/>
            </w:tcBorders>
            <w:shd w:val="clear" w:color="auto" w:fill="D9E2F3"/>
            <w:vAlign w:val="center"/>
          </w:tcPr>
          <w:p w14:paraId="78D16AE8"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51</w:t>
            </w:r>
          </w:p>
        </w:tc>
        <w:tc>
          <w:tcPr>
            <w:tcW w:w="1092" w:type="dxa"/>
            <w:tcBorders>
              <w:bottom w:val="single" w:sz="6" w:space="0" w:color="000000"/>
            </w:tcBorders>
            <w:shd w:val="clear" w:color="auto" w:fill="D9E2F3"/>
            <w:vAlign w:val="center"/>
          </w:tcPr>
          <w:p w14:paraId="14FF357A"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51</w:t>
            </w:r>
          </w:p>
        </w:tc>
        <w:tc>
          <w:tcPr>
            <w:tcW w:w="906" w:type="dxa"/>
            <w:tcBorders>
              <w:bottom w:val="single" w:sz="6" w:space="0" w:color="000000"/>
            </w:tcBorders>
            <w:shd w:val="clear" w:color="auto" w:fill="D9E2F3"/>
            <w:vAlign w:val="center"/>
          </w:tcPr>
          <w:p w14:paraId="0AD11860" w14:textId="62A302DA"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49</w:t>
            </w:r>
          </w:p>
        </w:tc>
        <w:tc>
          <w:tcPr>
            <w:tcW w:w="2004" w:type="dxa"/>
            <w:tcBorders>
              <w:bottom w:val="single" w:sz="6" w:space="0" w:color="000000"/>
            </w:tcBorders>
            <w:shd w:val="clear" w:color="auto" w:fill="D9E2F3"/>
            <w:vAlign w:val="center"/>
          </w:tcPr>
          <w:p w14:paraId="1DB35214" w14:textId="2718A787"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green"/>
                <w:lang w:val="sr-Latn-RS"/>
              </w:rPr>
              <w:t>↗</w:t>
            </w:r>
          </w:p>
        </w:tc>
      </w:tr>
      <w:tr w:rsidR="001F5BAE" w:rsidRPr="009D0BAB" w14:paraId="64BAE42E" w14:textId="77777777" w:rsidTr="00C14754">
        <w:trPr>
          <w:trHeight w:val="255"/>
          <w:jc w:val="center"/>
        </w:trPr>
        <w:tc>
          <w:tcPr>
            <w:tcW w:w="1991" w:type="dxa"/>
            <w:tcBorders>
              <w:right w:val="single" w:sz="12" w:space="0" w:color="000000"/>
            </w:tcBorders>
            <w:shd w:val="clear" w:color="auto" w:fill="auto"/>
            <w:noWrap/>
            <w:vAlign w:val="center"/>
          </w:tcPr>
          <w:p w14:paraId="29C35DFF"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Hrvatska</w:t>
            </w:r>
          </w:p>
        </w:tc>
        <w:tc>
          <w:tcPr>
            <w:tcW w:w="973" w:type="dxa"/>
            <w:shd w:val="clear" w:color="auto" w:fill="auto"/>
            <w:vAlign w:val="center"/>
          </w:tcPr>
          <w:p w14:paraId="46F9C52C"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66</w:t>
            </w:r>
          </w:p>
        </w:tc>
        <w:tc>
          <w:tcPr>
            <w:tcW w:w="1092" w:type="dxa"/>
            <w:vAlign w:val="center"/>
          </w:tcPr>
          <w:p w14:paraId="770DF209"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68</w:t>
            </w:r>
          </w:p>
        </w:tc>
        <w:tc>
          <w:tcPr>
            <w:tcW w:w="906" w:type="dxa"/>
            <w:vAlign w:val="center"/>
          </w:tcPr>
          <w:p w14:paraId="415ABEDD" w14:textId="0697F941"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63</w:t>
            </w:r>
          </w:p>
        </w:tc>
        <w:tc>
          <w:tcPr>
            <w:tcW w:w="2004" w:type="dxa"/>
            <w:vAlign w:val="center"/>
          </w:tcPr>
          <w:p w14:paraId="6D0B474A" w14:textId="5C7B0229"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green"/>
                <w:lang w:val="sr-Latn-RS"/>
              </w:rPr>
              <w:t>↗</w:t>
            </w:r>
          </w:p>
        </w:tc>
      </w:tr>
      <w:tr w:rsidR="001F5BAE" w:rsidRPr="009D0BAB" w14:paraId="6BB8680D" w14:textId="77777777" w:rsidTr="00C14754">
        <w:trPr>
          <w:trHeight w:val="255"/>
          <w:jc w:val="center"/>
        </w:trPr>
        <w:tc>
          <w:tcPr>
            <w:tcW w:w="1991" w:type="dxa"/>
            <w:tcBorders>
              <w:bottom w:val="single" w:sz="6" w:space="0" w:color="000000"/>
              <w:right w:val="single" w:sz="12" w:space="0" w:color="000000"/>
            </w:tcBorders>
            <w:shd w:val="clear" w:color="auto" w:fill="D9E2F3"/>
            <w:noWrap/>
            <w:vAlign w:val="center"/>
          </w:tcPr>
          <w:p w14:paraId="70D0B41D"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Mađarska</w:t>
            </w:r>
          </w:p>
        </w:tc>
        <w:tc>
          <w:tcPr>
            <w:tcW w:w="973" w:type="dxa"/>
            <w:tcBorders>
              <w:bottom w:val="single" w:sz="6" w:space="0" w:color="000000"/>
            </w:tcBorders>
            <w:shd w:val="clear" w:color="auto" w:fill="D9E2F3"/>
            <w:vAlign w:val="center"/>
          </w:tcPr>
          <w:p w14:paraId="119AC2F6"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48</w:t>
            </w:r>
          </w:p>
        </w:tc>
        <w:tc>
          <w:tcPr>
            <w:tcW w:w="1092" w:type="dxa"/>
            <w:tcBorders>
              <w:bottom w:val="single" w:sz="6" w:space="0" w:color="000000"/>
            </w:tcBorders>
            <w:shd w:val="clear" w:color="auto" w:fill="D9E2F3"/>
            <w:vAlign w:val="center"/>
          </w:tcPr>
          <w:p w14:paraId="793605BF"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48</w:t>
            </w:r>
          </w:p>
        </w:tc>
        <w:tc>
          <w:tcPr>
            <w:tcW w:w="906" w:type="dxa"/>
            <w:tcBorders>
              <w:bottom w:val="single" w:sz="6" w:space="0" w:color="000000"/>
            </w:tcBorders>
            <w:shd w:val="clear" w:color="auto" w:fill="D9E2F3"/>
            <w:vAlign w:val="center"/>
          </w:tcPr>
          <w:p w14:paraId="5D286E29" w14:textId="6CFF9F37"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47</w:t>
            </w:r>
          </w:p>
        </w:tc>
        <w:tc>
          <w:tcPr>
            <w:tcW w:w="2004" w:type="dxa"/>
            <w:tcBorders>
              <w:bottom w:val="single" w:sz="6" w:space="0" w:color="000000"/>
            </w:tcBorders>
            <w:shd w:val="clear" w:color="auto" w:fill="D9E2F3"/>
            <w:vAlign w:val="center"/>
          </w:tcPr>
          <w:p w14:paraId="28875AF0" w14:textId="324422C2"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green"/>
                <w:lang w:val="sr-Latn-RS"/>
              </w:rPr>
              <w:t>↗</w:t>
            </w:r>
          </w:p>
        </w:tc>
      </w:tr>
      <w:tr w:rsidR="001F5BAE" w:rsidRPr="009D0BAB" w14:paraId="23F8B051" w14:textId="77777777" w:rsidTr="00C14754">
        <w:trPr>
          <w:trHeight w:val="255"/>
          <w:jc w:val="center"/>
        </w:trPr>
        <w:tc>
          <w:tcPr>
            <w:tcW w:w="1991" w:type="dxa"/>
            <w:tcBorders>
              <w:right w:val="single" w:sz="12" w:space="0" w:color="000000"/>
            </w:tcBorders>
            <w:shd w:val="clear" w:color="auto" w:fill="auto"/>
            <w:noWrap/>
            <w:vAlign w:val="center"/>
          </w:tcPr>
          <w:p w14:paraId="1C7CA3C6" w14:textId="71375996" w:rsidR="001F5BAE" w:rsidRPr="009D0BAB" w:rsidRDefault="00C14754"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Severna</w:t>
            </w:r>
            <w:r w:rsidR="001F5BAE" w:rsidRPr="009D0BAB">
              <w:rPr>
                <w:rFonts w:ascii="Times New Roman" w:eastAsia="Calibri" w:hAnsi="Times New Roman"/>
                <w:bCs/>
                <w:color w:val="000000"/>
                <w:sz w:val="18"/>
                <w:szCs w:val="18"/>
                <w:lang w:val="sr-Latn-RS"/>
              </w:rPr>
              <w:t xml:space="preserve"> Makedonija</w:t>
            </w:r>
          </w:p>
        </w:tc>
        <w:tc>
          <w:tcPr>
            <w:tcW w:w="973" w:type="dxa"/>
            <w:shd w:val="clear" w:color="auto" w:fill="auto"/>
            <w:vAlign w:val="center"/>
          </w:tcPr>
          <w:p w14:paraId="74A3AFE1"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n.a.**</w:t>
            </w:r>
          </w:p>
        </w:tc>
        <w:tc>
          <w:tcPr>
            <w:tcW w:w="1092" w:type="dxa"/>
            <w:vAlign w:val="center"/>
          </w:tcPr>
          <w:p w14:paraId="469F397B"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84</w:t>
            </w:r>
          </w:p>
        </w:tc>
        <w:tc>
          <w:tcPr>
            <w:tcW w:w="906" w:type="dxa"/>
            <w:vAlign w:val="center"/>
          </w:tcPr>
          <w:p w14:paraId="52C8E131" w14:textId="06C5BD72"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82</w:t>
            </w:r>
          </w:p>
        </w:tc>
        <w:tc>
          <w:tcPr>
            <w:tcW w:w="2004" w:type="dxa"/>
            <w:vAlign w:val="center"/>
          </w:tcPr>
          <w:p w14:paraId="656D0F81" w14:textId="51CF874F"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green"/>
                <w:lang w:val="sr-Latn-RS"/>
              </w:rPr>
              <w:t>↗</w:t>
            </w:r>
          </w:p>
        </w:tc>
      </w:tr>
      <w:tr w:rsidR="001F5BAE" w:rsidRPr="009D0BAB" w14:paraId="0386CF68" w14:textId="77777777" w:rsidTr="00C14754">
        <w:trPr>
          <w:trHeight w:val="255"/>
          <w:jc w:val="center"/>
        </w:trPr>
        <w:tc>
          <w:tcPr>
            <w:tcW w:w="1991" w:type="dxa"/>
            <w:tcBorders>
              <w:bottom w:val="single" w:sz="6" w:space="0" w:color="000000"/>
              <w:right w:val="single" w:sz="12" w:space="0" w:color="000000"/>
            </w:tcBorders>
            <w:shd w:val="clear" w:color="auto" w:fill="D9E2F3"/>
            <w:noWrap/>
            <w:vAlign w:val="center"/>
          </w:tcPr>
          <w:p w14:paraId="1690CED9"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Crna Gora</w:t>
            </w:r>
          </w:p>
        </w:tc>
        <w:tc>
          <w:tcPr>
            <w:tcW w:w="973" w:type="dxa"/>
            <w:tcBorders>
              <w:bottom w:val="single" w:sz="6" w:space="0" w:color="000000"/>
            </w:tcBorders>
            <w:shd w:val="clear" w:color="auto" w:fill="D9E2F3"/>
            <w:vAlign w:val="center"/>
          </w:tcPr>
          <w:p w14:paraId="4C5C0FE1"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73</w:t>
            </w:r>
          </w:p>
        </w:tc>
        <w:tc>
          <w:tcPr>
            <w:tcW w:w="1092" w:type="dxa"/>
            <w:tcBorders>
              <w:bottom w:val="single" w:sz="6" w:space="0" w:color="000000"/>
            </w:tcBorders>
            <w:shd w:val="clear" w:color="auto" w:fill="D9E2F3"/>
            <w:vAlign w:val="center"/>
          </w:tcPr>
          <w:p w14:paraId="02DA1BA9"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71</w:t>
            </w:r>
          </w:p>
        </w:tc>
        <w:tc>
          <w:tcPr>
            <w:tcW w:w="906" w:type="dxa"/>
            <w:tcBorders>
              <w:bottom w:val="single" w:sz="6" w:space="0" w:color="000000"/>
            </w:tcBorders>
            <w:shd w:val="clear" w:color="auto" w:fill="D9E2F3"/>
            <w:vAlign w:val="center"/>
          </w:tcPr>
          <w:p w14:paraId="1F90C47E" w14:textId="32809DBC"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73</w:t>
            </w:r>
          </w:p>
        </w:tc>
        <w:tc>
          <w:tcPr>
            <w:tcW w:w="2004" w:type="dxa"/>
            <w:tcBorders>
              <w:bottom w:val="single" w:sz="6" w:space="0" w:color="000000"/>
            </w:tcBorders>
            <w:shd w:val="clear" w:color="auto" w:fill="D9E2F3"/>
            <w:vAlign w:val="center"/>
          </w:tcPr>
          <w:p w14:paraId="0463CB9C" w14:textId="1D95ACA0"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red"/>
                <w:lang w:val="sr-Latn-RS"/>
              </w:rPr>
              <w:t>↘</w:t>
            </w:r>
          </w:p>
        </w:tc>
      </w:tr>
      <w:tr w:rsidR="001F5BAE" w:rsidRPr="009D0BAB" w14:paraId="49EF3E75" w14:textId="77777777" w:rsidTr="00C14754">
        <w:trPr>
          <w:trHeight w:val="255"/>
          <w:jc w:val="center"/>
        </w:trPr>
        <w:tc>
          <w:tcPr>
            <w:tcW w:w="1991" w:type="dxa"/>
            <w:tcBorders>
              <w:right w:val="single" w:sz="12" w:space="0" w:color="000000"/>
            </w:tcBorders>
            <w:shd w:val="clear" w:color="auto" w:fill="auto"/>
            <w:noWrap/>
            <w:vAlign w:val="center"/>
          </w:tcPr>
          <w:p w14:paraId="65CF87EF"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Rumunija</w:t>
            </w:r>
          </w:p>
        </w:tc>
        <w:tc>
          <w:tcPr>
            <w:tcW w:w="973" w:type="dxa"/>
            <w:shd w:val="clear" w:color="auto" w:fill="auto"/>
            <w:vAlign w:val="center"/>
          </w:tcPr>
          <w:p w14:paraId="659ED17D" w14:textId="11FEF727" w:rsidR="001F5BAE" w:rsidRPr="009D0BAB" w:rsidRDefault="00F93E15"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52</w:t>
            </w:r>
          </w:p>
        </w:tc>
        <w:tc>
          <w:tcPr>
            <w:tcW w:w="1092" w:type="dxa"/>
            <w:vAlign w:val="center"/>
          </w:tcPr>
          <w:p w14:paraId="18D7906A" w14:textId="69254E11" w:rsidR="001F5BAE" w:rsidRPr="009D0BAB" w:rsidRDefault="00F93E15"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52</w:t>
            </w:r>
          </w:p>
        </w:tc>
        <w:tc>
          <w:tcPr>
            <w:tcW w:w="906" w:type="dxa"/>
            <w:vAlign w:val="center"/>
          </w:tcPr>
          <w:p w14:paraId="0B89E83C" w14:textId="493DF760"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51</w:t>
            </w:r>
          </w:p>
        </w:tc>
        <w:tc>
          <w:tcPr>
            <w:tcW w:w="2004" w:type="dxa"/>
            <w:vAlign w:val="center"/>
          </w:tcPr>
          <w:p w14:paraId="20CBEA7B" w14:textId="1E04FB46" w:rsidR="001F5BAE" w:rsidRPr="009D0BAB" w:rsidRDefault="00C14754" w:rsidP="008E0F0C">
            <w:pPr>
              <w:jc w:val="center"/>
              <w:rPr>
                <w:rFonts w:ascii="Times New Roman" w:hAnsi="Times New Roman"/>
                <w:color w:val="000000" w:themeColor="text1"/>
                <w:sz w:val="18"/>
                <w:szCs w:val="18"/>
                <w:lang w:val="sr-Latn-RS"/>
              </w:rPr>
            </w:pPr>
            <w:r w:rsidRPr="009D0BAB">
              <w:rPr>
                <w:rFonts w:ascii="Cambria Math" w:hAnsi="Cambria Math" w:cs="Cambria Math"/>
                <w:b/>
                <w:color w:val="000000" w:themeColor="text1"/>
                <w:sz w:val="18"/>
                <w:szCs w:val="18"/>
                <w:highlight w:val="green"/>
                <w:lang w:val="sr-Latn-RS"/>
              </w:rPr>
              <w:t>↗</w:t>
            </w:r>
          </w:p>
        </w:tc>
      </w:tr>
      <w:tr w:rsidR="001F5BAE" w:rsidRPr="009D0BAB" w14:paraId="2F624720" w14:textId="77777777" w:rsidTr="00C14754">
        <w:trPr>
          <w:trHeight w:val="255"/>
          <w:jc w:val="center"/>
        </w:trPr>
        <w:tc>
          <w:tcPr>
            <w:tcW w:w="1991" w:type="dxa"/>
            <w:tcBorders>
              <w:bottom w:val="single" w:sz="6" w:space="0" w:color="000000"/>
              <w:right w:val="single" w:sz="12" w:space="0" w:color="000000"/>
            </w:tcBorders>
            <w:shd w:val="clear" w:color="auto" w:fill="D9E2F3"/>
            <w:noWrap/>
            <w:vAlign w:val="center"/>
          </w:tcPr>
          <w:p w14:paraId="7A3BFD2B"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Slovenija</w:t>
            </w:r>
          </w:p>
        </w:tc>
        <w:tc>
          <w:tcPr>
            <w:tcW w:w="973" w:type="dxa"/>
            <w:tcBorders>
              <w:bottom w:val="single" w:sz="6" w:space="0" w:color="000000"/>
            </w:tcBorders>
            <w:shd w:val="clear" w:color="auto" w:fill="D9E2F3"/>
            <w:vAlign w:val="center"/>
          </w:tcPr>
          <w:p w14:paraId="6A6C65B0"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35</w:t>
            </w:r>
          </w:p>
        </w:tc>
        <w:tc>
          <w:tcPr>
            <w:tcW w:w="1092" w:type="dxa"/>
            <w:tcBorders>
              <w:bottom w:val="single" w:sz="6" w:space="0" w:color="000000"/>
            </w:tcBorders>
            <w:shd w:val="clear" w:color="auto" w:fill="D9E2F3"/>
            <w:vAlign w:val="center"/>
          </w:tcPr>
          <w:p w14:paraId="5B85EF92"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35</w:t>
            </w:r>
          </w:p>
        </w:tc>
        <w:tc>
          <w:tcPr>
            <w:tcW w:w="906" w:type="dxa"/>
            <w:tcBorders>
              <w:bottom w:val="single" w:sz="6" w:space="0" w:color="000000"/>
            </w:tcBorders>
            <w:shd w:val="clear" w:color="auto" w:fill="D9E2F3"/>
            <w:vAlign w:val="center"/>
          </w:tcPr>
          <w:p w14:paraId="234EF2C6" w14:textId="09F3EDC6"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35</w:t>
            </w:r>
          </w:p>
        </w:tc>
        <w:tc>
          <w:tcPr>
            <w:tcW w:w="2004" w:type="dxa"/>
            <w:tcBorders>
              <w:bottom w:val="single" w:sz="6" w:space="0" w:color="000000"/>
            </w:tcBorders>
            <w:shd w:val="clear" w:color="auto" w:fill="D9E2F3"/>
            <w:vAlign w:val="center"/>
          </w:tcPr>
          <w:p w14:paraId="3C449DB0" w14:textId="1D030B01" w:rsidR="001F5BAE" w:rsidRPr="009D0BAB" w:rsidRDefault="00C14754" w:rsidP="008E0F0C">
            <w:pPr>
              <w:jc w:val="center"/>
              <w:rPr>
                <w:rFonts w:ascii="Times New Roman" w:hAnsi="Times New Roman"/>
                <w:color w:val="000000" w:themeColor="text1"/>
                <w:sz w:val="18"/>
                <w:szCs w:val="18"/>
                <w:lang w:val="sr-Latn-RS"/>
              </w:rPr>
            </w:pPr>
            <w:r w:rsidRPr="009D0BAB">
              <w:rPr>
                <w:rFonts w:ascii="Times New Roman" w:hAnsi="Times New Roman"/>
                <w:color w:val="000000" w:themeColor="text1"/>
                <w:sz w:val="18"/>
                <w:szCs w:val="18"/>
                <w:lang w:val="sr-Latn-RS"/>
              </w:rPr>
              <w:t>-</w:t>
            </w:r>
          </w:p>
        </w:tc>
      </w:tr>
      <w:tr w:rsidR="001F5BAE" w:rsidRPr="009D0BAB" w14:paraId="35CB13CF" w14:textId="77777777" w:rsidTr="00C14754">
        <w:trPr>
          <w:trHeight w:val="255"/>
          <w:jc w:val="center"/>
        </w:trPr>
        <w:tc>
          <w:tcPr>
            <w:tcW w:w="1991" w:type="dxa"/>
            <w:tcBorders>
              <w:top w:val="single" w:sz="6" w:space="0" w:color="000000"/>
              <w:bottom w:val="single" w:sz="12" w:space="0" w:color="000000"/>
              <w:right w:val="single" w:sz="12" w:space="0" w:color="000000"/>
            </w:tcBorders>
            <w:shd w:val="clear" w:color="auto" w:fill="FBE4D5"/>
            <w:noWrap/>
            <w:vAlign w:val="center"/>
          </w:tcPr>
          <w:p w14:paraId="684F5676" w14:textId="77777777" w:rsidR="001F5BAE" w:rsidRPr="009D0BAB" w:rsidRDefault="001F5BAE" w:rsidP="008E0F0C">
            <w:pPr>
              <w:jc w:val="center"/>
              <w:rPr>
                <w:rFonts w:ascii="Times New Roman" w:eastAsia="Calibri" w:hAnsi="Times New Roman"/>
                <w:bCs/>
                <w:color w:val="000000"/>
                <w:sz w:val="18"/>
                <w:szCs w:val="18"/>
                <w:lang w:val="sr-Latn-RS"/>
              </w:rPr>
            </w:pPr>
            <w:r w:rsidRPr="009D0BAB">
              <w:rPr>
                <w:rFonts w:ascii="Times New Roman" w:eastAsia="Calibri" w:hAnsi="Times New Roman"/>
                <w:bCs/>
                <w:color w:val="000000"/>
                <w:sz w:val="18"/>
                <w:szCs w:val="18"/>
                <w:lang w:val="sr-Latn-RS"/>
              </w:rPr>
              <w:t>Srbija</w:t>
            </w:r>
          </w:p>
        </w:tc>
        <w:tc>
          <w:tcPr>
            <w:tcW w:w="973" w:type="dxa"/>
            <w:tcBorders>
              <w:top w:val="single" w:sz="6" w:space="0" w:color="000000"/>
              <w:bottom w:val="single" w:sz="12" w:space="0" w:color="000000"/>
            </w:tcBorders>
            <w:shd w:val="clear" w:color="auto" w:fill="FBE4D5"/>
            <w:vAlign w:val="center"/>
          </w:tcPr>
          <w:p w14:paraId="46B4E3C7"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70</w:t>
            </w:r>
          </w:p>
        </w:tc>
        <w:tc>
          <w:tcPr>
            <w:tcW w:w="1092" w:type="dxa"/>
            <w:tcBorders>
              <w:top w:val="single" w:sz="6" w:space="0" w:color="000000"/>
              <w:bottom w:val="single" w:sz="12" w:space="0" w:color="000000"/>
            </w:tcBorders>
            <w:shd w:val="clear" w:color="auto" w:fill="FBE4D5"/>
            <w:vAlign w:val="center"/>
          </w:tcPr>
          <w:p w14:paraId="24932D40" w14:textId="77777777" w:rsidR="001F5BAE" w:rsidRPr="009D0BAB" w:rsidRDefault="001F5BAE"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65</w:t>
            </w:r>
          </w:p>
        </w:tc>
        <w:tc>
          <w:tcPr>
            <w:tcW w:w="906" w:type="dxa"/>
            <w:tcBorders>
              <w:top w:val="single" w:sz="6" w:space="0" w:color="000000"/>
              <w:bottom w:val="single" w:sz="12" w:space="0" w:color="000000"/>
            </w:tcBorders>
            <w:shd w:val="clear" w:color="auto" w:fill="FBE4D5"/>
            <w:vAlign w:val="center"/>
          </w:tcPr>
          <w:p w14:paraId="56AAC523" w14:textId="002C9C06" w:rsidR="001F5BAE" w:rsidRPr="009D0BAB" w:rsidRDefault="00C14754" w:rsidP="008E0F0C">
            <w:pPr>
              <w:jc w:val="center"/>
              <w:rPr>
                <w:rFonts w:ascii="Times New Roman" w:hAnsi="Times New Roman"/>
                <w:color w:val="000000"/>
                <w:sz w:val="18"/>
                <w:szCs w:val="18"/>
                <w:lang w:val="sr-Latn-RS"/>
              </w:rPr>
            </w:pPr>
            <w:r w:rsidRPr="009D0BAB">
              <w:rPr>
                <w:rFonts w:ascii="Times New Roman" w:hAnsi="Times New Roman"/>
                <w:color w:val="000000"/>
                <w:sz w:val="18"/>
                <w:szCs w:val="18"/>
                <w:lang w:val="sr-Latn-RS"/>
              </w:rPr>
              <w:t>72</w:t>
            </w:r>
          </w:p>
        </w:tc>
        <w:tc>
          <w:tcPr>
            <w:tcW w:w="2004" w:type="dxa"/>
            <w:tcBorders>
              <w:top w:val="single" w:sz="6" w:space="0" w:color="000000"/>
              <w:bottom w:val="single" w:sz="12" w:space="0" w:color="000000"/>
            </w:tcBorders>
            <w:shd w:val="clear" w:color="auto" w:fill="FBE4D5"/>
            <w:vAlign w:val="center"/>
          </w:tcPr>
          <w:p w14:paraId="3D3BAF91" w14:textId="41CBFC98" w:rsidR="001F5BAE" w:rsidRPr="009D0BAB" w:rsidRDefault="00C14754" w:rsidP="008E0F0C">
            <w:pPr>
              <w:jc w:val="center"/>
              <w:rPr>
                <w:rFonts w:ascii="Times New Roman" w:hAnsi="Times New Roman"/>
                <w:b/>
                <w:color w:val="000000" w:themeColor="text1"/>
                <w:sz w:val="18"/>
                <w:szCs w:val="18"/>
                <w:lang w:val="sr-Latn-RS"/>
              </w:rPr>
            </w:pPr>
            <w:r w:rsidRPr="009D0BAB">
              <w:rPr>
                <w:rFonts w:ascii="Cambria Math" w:hAnsi="Cambria Math" w:cs="Cambria Math"/>
                <w:b/>
                <w:color w:val="000000" w:themeColor="text1"/>
                <w:sz w:val="18"/>
                <w:szCs w:val="18"/>
                <w:highlight w:val="red"/>
                <w:lang w:val="sr-Latn-RS"/>
              </w:rPr>
              <w:t>↘</w:t>
            </w:r>
          </w:p>
        </w:tc>
      </w:tr>
    </w:tbl>
    <w:p w14:paraId="4AC3C6A3" w14:textId="77777777" w:rsidR="00E5451B" w:rsidRPr="009D0BAB" w:rsidRDefault="00E5451B" w:rsidP="00E5451B">
      <w:pPr>
        <w:jc w:val="both"/>
        <w:rPr>
          <w:rFonts w:ascii="Times New Roman" w:eastAsia="Calibri" w:hAnsi="Times New Roman"/>
          <w:b/>
          <w:sz w:val="6"/>
          <w:szCs w:val="16"/>
          <w:lang w:val="sr-Latn-RS"/>
        </w:rPr>
      </w:pPr>
    </w:p>
    <w:p w14:paraId="53A83E45" w14:textId="77777777" w:rsidR="00E5451B" w:rsidRPr="009D0BAB" w:rsidRDefault="00E5451B" w:rsidP="00E5451B">
      <w:pPr>
        <w:jc w:val="both"/>
        <w:rPr>
          <w:rFonts w:ascii="Times New Roman" w:eastAsia="Calibri" w:hAnsi="Times New Roman"/>
          <w:sz w:val="16"/>
          <w:lang w:val="sr-Latn-RS"/>
        </w:rPr>
      </w:pPr>
      <w:r w:rsidRPr="009D0BAB">
        <w:rPr>
          <w:rFonts w:ascii="Times New Roman" w:eastAsia="Calibri" w:hAnsi="Times New Roman"/>
          <w:b/>
          <w:sz w:val="16"/>
          <w:lang w:val="sr-Latn-RS"/>
        </w:rPr>
        <w:t>Izvor:</w:t>
      </w:r>
      <w:r w:rsidRPr="009D0BAB">
        <w:rPr>
          <w:rFonts w:ascii="Times New Roman" w:eastAsia="Calibri" w:hAnsi="Times New Roman"/>
          <w:sz w:val="16"/>
          <w:lang w:val="sr-Latn-RS"/>
        </w:rPr>
        <w:t xml:space="preserve"> WEF 2018.</w:t>
      </w:r>
    </w:p>
    <w:p w14:paraId="7520C894" w14:textId="77777777" w:rsidR="00CE76CA" w:rsidRPr="009D0BAB" w:rsidRDefault="00CE76CA" w:rsidP="00E5451B">
      <w:pPr>
        <w:jc w:val="both"/>
        <w:rPr>
          <w:rFonts w:ascii="Times New Roman" w:eastAsia="Calibri" w:hAnsi="Times New Roman"/>
          <w:sz w:val="16"/>
          <w:szCs w:val="16"/>
          <w:lang w:val="sr-Latn-RS"/>
        </w:rPr>
      </w:pPr>
      <w:r w:rsidRPr="009D0BAB">
        <w:rPr>
          <w:rFonts w:ascii="Times New Roman" w:eastAsia="Calibri" w:hAnsi="Times New Roman"/>
          <w:sz w:val="16"/>
          <w:szCs w:val="16"/>
          <w:lang w:val="sr-Latn-RS"/>
        </w:rPr>
        <w:t>1) izveštaj obuhvata 137 zemalja</w:t>
      </w:r>
    </w:p>
    <w:p w14:paraId="7869BBD9" w14:textId="49A639A5" w:rsidR="00E5451B" w:rsidRPr="009D0BAB" w:rsidRDefault="00CE76CA" w:rsidP="00E5451B">
      <w:pPr>
        <w:jc w:val="both"/>
        <w:rPr>
          <w:rFonts w:ascii="Times New Roman" w:eastAsia="Calibri" w:hAnsi="Times New Roman"/>
          <w:sz w:val="16"/>
          <w:szCs w:val="16"/>
          <w:lang w:val="sr-Latn-RS"/>
        </w:rPr>
      </w:pPr>
      <w:r w:rsidRPr="009D0BAB">
        <w:rPr>
          <w:rFonts w:ascii="Times New Roman" w:eastAsia="Calibri" w:hAnsi="Times New Roman"/>
          <w:sz w:val="16"/>
          <w:szCs w:val="16"/>
          <w:lang w:val="sr-Latn-RS"/>
        </w:rPr>
        <w:t>2</w:t>
      </w:r>
      <w:r w:rsidR="00E5451B" w:rsidRPr="009D0BAB">
        <w:rPr>
          <w:rFonts w:ascii="Times New Roman" w:eastAsia="Calibri" w:hAnsi="Times New Roman"/>
          <w:sz w:val="16"/>
          <w:szCs w:val="16"/>
          <w:lang w:val="sr-Latn-RS"/>
        </w:rPr>
        <w:t>) izveštaj obuhvata 140 zemalja</w:t>
      </w:r>
    </w:p>
    <w:p w14:paraId="08FE5466" w14:textId="702F758E" w:rsidR="00C14754" w:rsidRPr="009D0BAB" w:rsidRDefault="00C14754" w:rsidP="00E5451B">
      <w:pPr>
        <w:jc w:val="both"/>
        <w:rPr>
          <w:rFonts w:ascii="Times New Roman" w:eastAsia="Calibri" w:hAnsi="Times New Roman"/>
          <w:sz w:val="16"/>
          <w:szCs w:val="16"/>
          <w:lang w:val="sr-Latn-RS"/>
        </w:rPr>
      </w:pPr>
      <w:r w:rsidRPr="009D0BAB">
        <w:rPr>
          <w:rFonts w:ascii="Times New Roman" w:eastAsia="Calibri" w:hAnsi="Times New Roman"/>
          <w:sz w:val="16"/>
          <w:szCs w:val="16"/>
          <w:lang w:val="sr-Latn-RS"/>
        </w:rPr>
        <w:t>3) izveštaj obuhvata 141 zemlju</w:t>
      </w:r>
    </w:p>
    <w:p w14:paraId="0B586B6C" w14:textId="77777777" w:rsidR="00E5451B" w:rsidRPr="009D0BAB" w:rsidRDefault="00E5451B" w:rsidP="00E5451B">
      <w:pPr>
        <w:jc w:val="both"/>
        <w:rPr>
          <w:rFonts w:ascii="Times New Roman" w:eastAsia="Calibri" w:hAnsi="Times New Roman"/>
          <w:sz w:val="16"/>
          <w:szCs w:val="16"/>
          <w:lang w:val="sr-Latn-RS"/>
        </w:rPr>
      </w:pPr>
      <w:r w:rsidRPr="009D0BAB">
        <w:rPr>
          <w:rFonts w:ascii="Times New Roman" w:eastAsia="Calibri" w:hAnsi="Times New Roman"/>
          <w:sz w:val="16"/>
          <w:szCs w:val="16"/>
          <w:lang w:val="sr-Latn-RS"/>
        </w:rPr>
        <w:t>**</w:t>
      </w:r>
      <w:r w:rsidRPr="009D0BAB">
        <w:rPr>
          <w:rFonts w:ascii="Times New Roman" w:eastAsia="Calibri" w:hAnsi="Times New Roman"/>
          <w:sz w:val="16"/>
          <w:szCs w:val="20"/>
          <w:lang w:val="sr-Latn-RS"/>
        </w:rPr>
        <w:t>Usled nemogućnosti da se prikupe podaci za BJR Makedoniju u 2017. godini vrednosti rang nije obračunat za ovu godinu.</w:t>
      </w:r>
    </w:p>
    <w:p w14:paraId="5A1DBDD0" w14:textId="77777777" w:rsidR="00E5451B" w:rsidRPr="009D0BAB" w:rsidRDefault="00E5451B" w:rsidP="00E5451B">
      <w:pPr>
        <w:jc w:val="both"/>
        <w:rPr>
          <w:rFonts w:ascii="Times New Roman" w:eastAsia="Calibri" w:hAnsi="Times New Roman"/>
          <w:lang w:val="sr-Latn-RS"/>
        </w:rPr>
      </w:pPr>
    </w:p>
    <w:p w14:paraId="6126B94E" w14:textId="3DD29A9E" w:rsidR="008F3D96" w:rsidRPr="009D0BAB" w:rsidRDefault="00E5451B" w:rsidP="00E5451B">
      <w:pPr>
        <w:ind w:firstLine="708"/>
        <w:jc w:val="both"/>
        <w:rPr>
          <w:rFonts w:ascii="Times New Roman" w:eastAsia="Calibri" w:hAnsi="Times New Roman"/>
          <w:lang w:val="sr-Latn-RS"/>
        </w:rPr>
      </w:pPr>
      <w:r w:rsidRPr="009D0BAB">
        <w:rPr>
          <w:rFonts w:ascii="Times New Roman" w:eastAsia="Calibri" w:hAnsi="Times New Roman"/>
          <w:lang w:val="sr-Latn-RS"/>
        </w:rPr>
        <w:t>Na osnovu detaljnog pregleda ostvarenih rezultata na nivou pojedinačnih stubova konkurentnosti može se zaključiti da je</w:t>
      </w:r>
      <w:r w:rsidR="001402D7" w:rsidRPr="009D0BAB">
        <w:rPr>
          <w:rFonts w:ascii="Times New Roman" w:eastAsia="Calibri" w:hAnsi="Times New Roman"/>
          <w:lang w:val="sr-Latn-RS"/>
        </w:rPr>
        <w:t xml:space="preserve"> </w:t>
      </w:r>
      <w:r w:rsidRPr="009D0BAB">
        <w:rPr>
          <w:rFonts w:ascii="Times New Roman" w:eastAsia="Calibri" w:hAnsi="Times New Roman"/>
          <w:lang w:val="sr-Latn-RS"/>
        </w:rPr>
        <w:t>u odnosu na 201</w:t>
      </w:r>
      <w:r w:rsidR="001402D7" w:rsidRPr="009D0BAB">
        <w:rPr>
          <w:rFonts w:ascii="Times New Roman" w:eastAsia="Calibri" w:hAnsi="Times New Roman"/>
          <w:lang w:val="sr-Latn-RS"/>
        </w:rPr>
        <w:t>8</w:t>
      </w:r>
      <w:r w:rsidRPr="009D0BAB">
        <w:rPr>
          <w:rFonts w:ascii="Times New Roman" w:eastAsia="Calibri" w:hAnsi="Times New Roman"/>
          <w:lang w:val="sr-Latn-RS"/>
        </w:rPr>
        <w:t>. godinu</w:t>
      </w:r>
      <w:r w:rsidR="001402D7" w:rsidRPr="009D0BAB">
        <w:rPr>
          <w:rFonts w:ascii="Times New Roman" w:eastAsia="Calibri" w:hAnsi="Times New Roman"/>
          <w:lang w:val="sr-Latn-RS"/>
        </w:rPr>
        <w:t xml:space="preserve"> Srbija zabeležila poboljšanje kod osam stubova konkurentnosti, kod tri stuba je ostvaren lošiji rezultat dok je vrednost indeksa kod jednog stuba ostala nepromenjena</w:t>
      </w:r>
      <w:r w:rsidRPr="009D0BAB">
        <w:rPr>
          <w:rFonts w:ascii="Times New Roman" w:eastAsia="Calibri" w:hAnsi="Times New Roman"/>
          <w:lang w:val="sr-Latn-RS"/>
        </w:rPr>
        <w:t>.</w:t>
      </w:r>
      <w:r w:rsidR="001402D7" w:rsidRPr="009D0BAB">
        <w:rPr>
          <w:rFonts w:ascii="Times New Roman" w:eastAsia="Calibri" w:hAnsi="Times New Roman"/>
          <w:lang w:val="sr-Latn-RS"/>
        </w:rPr>
        <w:t xml:space="preserve"> Stubovi koji su imali pozitivan </w:t>
      </w:r>
      <w:r w:rsidR="003818F5" w:rsidRPr="009D0BAB">
        <w:rPr>
          <w:rFonts w:ascii="Times New Roman" w:eastAsia="Calibri" w:hAnsi="Times New Roman"/>
          <w:lang w:val="sr-Latn-RS"/>
        </w:rPr>
        <w:t>doprinos</w:t>
      </w:r>
      <w:r w:rsidR="001402D7" w:rsidRPr="009D0BAB">
        <w:rPr>
          <w:rFonts w:ascii="Times New Roman" w:eastAsia="Calibri" w:hAnsi="Times New Roman"/>
          <w:lang w:val="sr-Latn-RS"/>
        </w:rPr>
        <w:t xml:space="preserve"> vrednosti IGK u odnosu na prošlu godinu su: Institucije, Infrastruktura, Veštine, Tržište rada, Finansijski sistem, Veličina tržišta, Dinamika poslovanja i </w:t>
      </w:r>
      <w:r w:rsidR="001402D7" w:rsidRPr="009D0BAB">
        <w:rPr>
          <w:rFonts w:ascii="Times New Roman" w:eastAsia="Calibri" w:hAnsi="Times New Roman"/>
          <w:lang w:val="sr-Latn-RS"/>
        </w:rPr>
        <w:lastRenderedPageBreak/>
        <w:t xml:space="preserve">Sposobnost za inoviranjem. Najveći pozitivan doprinos duguje se stubu </w:t>
      </w:r>
      <w:r w:rsidR="003818F5" w:rsidRPr="009D0BAB">
        <w:rPr>
          <w:rFonts w:ascii="Times New Roman" w:eastAsia="Calibri" w:hAnsi="Times New Roman"/>
          <w:lang w:val="sr-Latn-RS"/>
        </w:rPr>
        <w:t>konkurentnosti</w:t>
      </w:r>
      <w:r w:rsidR="001402D7" w:rsidRPr="009D0BAB">
        <w:rPr>
          <w:rFonts w:ascii="Times New Roman" w:eastAsia="Calibri" w:hAnsi="Times New Roman"/>
          <w:lang w:val="sr-Latn-RS"/>
        </w:rPr>
        <w:t xml:space="preserve"> Dinamika poslovanja, kod kojeg je vrednog na nivou stuba povećanja za 2,2 poena u odnosu na 2018. godinu. Povećanje vrednosti IGK na nivou ovog stuba posledica je </w:t>
      </w:r>
      <w:r w:rsidR="003818F5" w:rsidRPr="009D0BAB">
        <w:rPr>
          <w:rFonts w:ascii="Times New Roman" w:eastAsia="Calibri" w:hAnsi="Times New Roman"/>
          <w:lang w:val="sr-Latn-RS"/>
        </w:rPr>
        <w:t>boljih</w:t>
      </w:r>
      <w:r w:rsidR="001402D7" w:rsidRPr="009D0BAB">
        <w:rPr>
          <w:rFonts w:ascii="Times New Roman" w:eastAsia="Calibri" w:hAnsi="Times New Roman"/>
          <w:lang w:val="sr-Latn-RS"/>
        </w:rPr>
        <w:t xml:space="preserve"> ocena dobijenih iz ankete </w:t>
      </w:r>
      <w:r w:rsidR="00426DD2" w:rsidRPr="009D0BAB">
        <w:rPr>
          <w:rFonts w:ascii="Times New Roman" w:eastAsia="Calibri" w:hAnsi="Times New Roman"/>
          <w:lang w:val="sr-Latn-RS"/>
        </w:rPr>
        <w:t>privrednik</w:t>
      </w:r>
      <w:r w:rsidR="001402D7" w:rsidRPr="009D0BAB">
        <w:rPr>
          <w:rFonts w:ascii="Times New Roman" w:eastAsia="Calibri" w:hAnsi="Times New Roman"/>
          <w:lang w:val="sr-Latn-RS"/>
        </w:rPr>
        <w:t xml:space="preserve">a koju SEF svake godine sprovodi u cilju merenja dimenzija koje drugačije nije moguće obuhvatiti. </w:t>
      </w:r>
      <w:r w:rsidR="008F3D96" w:rsidRPr="009D0BAB">
        <w:rPr>
          <w:rFonts w:ascii="Times New Roman" w:eastAsia="Calibri" w:hAnsi="Times New Roman"/>
          <w:lang w:val="sr-Latn-RS"/>
        </w:rPr>
        <w:t>Deo ovog stuba koji meri kvalitet i složenost administrativnih postupaka za vođenje posla i prati se na osnovu uporedivih međunarodnih podataka, ostvario je minimalni napredak 0,15 poena. Drugi element stuba koji posmatra nivo preduzetničke kulture i prati se isključivo na osnovu ocena iz upitnika</w:t>
      </w:r>
      <w:r w:rsidR="003818F5" w:rsidRPr="009D0BAB">
        <w:rPr>
          <w:rFonts w:ascii="Times New Roman" w:eastAsia="Calibri" w:hAnsi="Times New Roman"/>
          <w:lang w:val="sr-Latn-RS"/>
        </w:rPr>
        <w:t>,</w:t>
      </w:r>
      <w:r w:rsidR="008F3D96" w:rsidRPr="009D0BAB">
        <w:rPr>
          <w:rFonts w:ascii="Times New Roman" w:eastAsia="Calibri" w:hAnsi="Times New Roman"/>
          <w:lang w:val="sr-Latn-RS"/>
        </w:rPr>
        <w:t xml:space="preserve"> ostvar</w:t>
      </w:r>
      <w:r w:rsidR="003818F5" w:rsidRPr="009D0BAB">
        <w:rPr>
          <w:rFonts w:ascii="Times New Roman" w:eastAsia="Calibri" w:hAnsi="Times New Roman"/>
          <w:lang w:val="sr-Latn-RS"/>
        </w:rPr>
        <w:t>i</w:t>
      </w:r>
      <w:r w:rsidR="008F3D96" w:rsidRPr="009D0BAB">
        <w:rPr>
          <w:rFonts w:ascii="Times New Roman" w:eastAsia="Calibri" w:hAnsi="Times New Roman"/>
          <w:lang w:val="sr-Latn-RS"/>
        </w:rPr>
        <w:t xml:space="preserve">o je za oko 4,2 pena bolji rezultat u odnosu na prošlu godinu. </w:t>
      </w:r>
    </w:p>
    <w:p w14:paraId="442A2725" w14:textId="7D2FED2A" w:rsidR="00A6757F" w:rsidRPr="009D0BAB" w:rsidRDefault="008F3D96" w:rsidP="00A6757F">
      <w:pPr>
        <w:ind w:firstLine="708"/>
        <w:jc w:val="both"/>
        <w:rPr>
          <w:rFonts w:ascii="Times New Roman" w:eastAsia="Calibri" w:hAnsi="Times New Roman"/>
          <w:lang w:val="sr-Latn-RS"/>
        </w:rPr>
      </w:pPr>
      <w:r w:rsidRPr="009D0BAB">
        <w:rPr>
          <w:rFonts w:ascii="Times New Roman" w:eastAsia="Calibri" w:hAnsi="Times New Roman"/>
          <w:lang w:val="sr-Latn-RS"/>
        </w:rPr>
        <w:t>Drugi najveći pozitivan doprinos duguje se stubu Fina</w:t>
      </w:r>
      <w:r w:rsidR="00A6757F" w:rsidRPr="009D0BAB">
        <w:rPr>
          <w:rFonts w:ascii="Times New Roman" w:eastAsia="Calibri" w:hAnsi="Times New Roman"/>
          <w:lang w:val="sr-Latn-RS"/>
        </w:rPr>
        <w:t xml:space="preserve">nsijski sistem čija je vrednost indeksa povećana za 1,5 poena u odnosu na rezultat iz 2018. godine. Ovaj stub se sastoji iz podstubova Dubina i Stabilnost sistema. Oba podstuba su ostvarila bolje rezultate u odnosu na prošlu godinu pri čemu </w:t>
      </w:r>
      <w:r w:rsidR="001F5427">
        <w:rPr>
          <w:rFonts w:ascii="Times New Roman" w:eastAsia="Calibri" w:hAnsi="Times New Roman"/>
          <w:lang w:val="sr-Latn-RS"/>
        </w:rPr>
        <w:t xml:space="preserve">su </w:t>
      </w:r>
      <w:r w:rsidR="00A6757F" w:rsidRPr="009D0BAB">
        <w:rPr>
          <w:rFonts w:ascii="Times New Roman" w:eastAsia="Calibri" w:hAnsi="Times New Roman"/>
          <w:lang w:val="sr-Latn-RS"/>
        </w:rPr>
        <w:t xml:space="preserve">rastu najviše doprineli ponovo znatno bolji rezultati odgovora iz ankete </w:t>
      </w:r>
      <w:r w:rsidR="00426DD2" w:rsidRPr="009D0BAB">
        <w:rPr>
          <w:rFonts w:ascii="Times New Roman" w:eastAsia="Calibri" w:hAnsi="Times New Roman"/>
          <w:lang w:val="sr-Latn-RS"/>
        </w:rPr>
        <w:t>privrednik</w:t>
      </w:r>
      <w:r w:rsidR="00A6757F" w:rsidRPr="009D0BAB">
        <w:rPr>
          <w:rFonts w:ascii="Times New Roman" w:eastAsia="Calibri" w:hAnsi="Times New Roman"/>
          <w:lang w:val="sr-Latn-RS"/>
        </w:rPr>
        <w:t xml:space="preserve">a (u proseku 4,9 poena više) koje se tiču ove dimenzije. Sa druge strane niži nivo kapitalizacije tržišta i manji nivo kredita plasiranih privatnom sektoru u procentu od BDP su negativno doprinosili rastu </w:t>
      </w:r>
      <w:r w:rsidR="003818F5" w:rsidRPr="009D0BAB">
        <w:rPr>
          <w:rFonts w:ascii="Times New Roman" w:eastAsia="Calibri" w:hAnsi="Times New Roman"/>
          <w:lang w:val="sr-Latn-RS"/>
        </w:rPr>
        <w:t>vrednosti</w:t>
      </w:r>
      <w:r w:rsidR="00A6757F" w:rsidRPr="009D0BAB">
        <w:rPr>
          <w:rFonts w:ascii="Times New Roman" w:eastAsia="Calibri" w:hAnsi="Times New Roman"/>
          <w:lang w:val="sr-Latn-RS"/>
        </w:rPr>
        <w:t xml:space="preserve"> indeksa za ovaj stub. </w:t>
      </w:r>
    </w:p>
    <w:p w14:paraId="56F5B826" w14:textId="318C4DDA" w:rsidR="00541A9D" w:rsidRPr="009D0BAB" w:rsidRDefault="00A6757F" w:rsidP="00A6757F">
      <w:pPr>
        <w:ind w:firstLine="708"/>
        <w:jc w:val="both"/>
        <w:rPr>
          <w:rFonts w:ascii="Times New Roman" w:eastAsia="Calibri" w:hAnsi="Times New Roman"/>
          <w:lang w:val="sr-Latn-RS"/>
        </w:rPr>
      </w:pPr>
      <w:r w:rsidRPr="009D0BAB">
        <w:rPr>
          <w:rFonts w:ascii="Times New Roman" w:eastAsia="Calibri" w:hAnsi="Times New Roman"/>
          <w:lang w:val="sr-Latn-RS"/>
        </w:rPr>
        <w:t>Povećanje vrednosti indeksa od 1,1 poena na nivou stuba</w:t>
      </w:r>
      <w:r w:rsidR="001F5427">
        <w:rPr>
          <w:rFonts w:ascii="Times New Roman" w:eastAsia="Calibri" w:hAnsi="Times New Roman"/>
          <w:lang w:val="sr-Latn-RS"/>
        </w:rPr>
        <w:t xml:space="preserve"> </w:t>
      </w:r>
      <w:r w:rsidRPr="009D0BAB">
        <w:rPr>
          <w:rFonts w:ascii="Times New Roman" w:eastAsia="Calibri" w:hAnsi="Times New Roman"/>
          <w:lang w:val="sr-Latn-RS"/>
        </w:rPr>
        <w:t>Veličina tržišta je takođe pozitivno doprinosila vrednosti ukupnog IGK za Srbiju u ovoj godini. O</w:t>
      </w:r>
      <w:r w:rsidR="00541A9D" w:rsidRPr="009D0BAB">
        <w:rPr>
          <w:rFonts w:ascii="Times New Roman" w:eastAsia="Calibri" w:hAnsi="Times New Roman"/>
          <w:lang w:val="sr-Latn-RS"/>
        </w:rPr>
        <w:t>vaj stub aproksimiran je kroz vrednosti dva indikatora: uvoz iskazan u procentima BDP-a i BDP prema paritetu kupovne moći u međunarodnim dolarima po baznim cenama iz 2011. godine.</w:t>
      </w:r>
    </w:p>
    <w:p w14:paraId="6BB4ED1C" w14:textId="1DAEFFD6" w:rsidR="003605FD" w:rsidRPr="009D0BAB" w:rsidRDefault="00BC45C2" w:rsidP="00BC45C2">
      <w:pPr>
        <w:ind w:firstLine="708"/>
        <w:jc w:val="both"/>
        <w:rPr>
          <w:rFonts w:ascii="Times New Roman" w:eastAsia="Calibri" w:hAnsi="Times New Roman"/>
          <w:lang w:val="sr-Latn-RS"/>
        </w:rPr>
      </w:pPr>
      <w:r w:rsidRPr="009D0BAB">
        <w:rPr>
          <w:rFonts w:ascii="Times New Roman" w:eastAsia="Calibri" w:hAnsi="Times New Roman"/>
          <w:lang w:val="sr-Latn-RS"/>
        </w:rPr>
        <w:t>Stub Ins</w:t>
      </w:r>
      <w:r w:rsidR="003605FD" w:rsidRPr="009D0BAB">
        <w:rPr>
          <w:rFonts w:ascii="Times New Roman" w:eastAsia="Calibri" w:hAnsi="Times New Roman"/>
          <w:lang w:val="sr-Latn-RS"/>
        </w:rPr>
        <w:t>t</w:t>
      </w:r>
      <w:r w:rsidRPr="009D0BAB">
        <w:rPr>
          <w:rFonts w:ascii="Times New Roman" w:eastAsia="Calibri" w:hAnsi="Times New Roman"/>
          <w:lang w:val="sr-Latn-RS"/>
        </w:rPr>
        <w:t xml:space="preserve">itucije je u ovogodišnjoj verziji </w:t>
      </w:r>
      <w:r w:rsidR="003818F5" w:rsidRPr="009D0BAB">
        <w:rPr>
          <w:rFonts w:ascii="Times New Roman" w:eastAsia="Calibri" w:hAnsi="Times New Roman"/>
          <w:lang w:val="sr-Latn-RS"/>
        </w:rPr>
        <w:t>izveštaj</w:t>
      </w:r>
      <w:r w:rsidR="001F5427">
        <w:rPr>
          <w:rFonts w:ascii="Times New Roman" w:eastAsia="Calibri" w:hAnsi="Times New Roman"/>
          <w:lang w:val="sr-Latn-RS"/>
        </w:rPr>
        <w:t>a</w:t>
      </w:r>
      <w:r w:rsidRPr="009D0BAB">
        <w:rPr>
          <w:rFonts w:ascii="Times New Roman" w:eastAsia="Calibri" w:hAnsi="Times New Roman"/>
          <w:lang w:val="sr-Latn-RS"/>
        </w:rPr>
        <w:t xml:space="preserve"> pretrpeo određene promene koje se odnose na u</w:t>
      </w:r>
      <w:r w:rsidR="001F5427">
        <w:rPr>
          <w:rFonts w:ascii="Times New Roman" w:eastAsia="Calibri" w:hAnsi="Times New Roman"/>
          <w:lang w:val="sr-Latn-RS"/>
        </w:rPr>
        <w:t xml:space="preserve">ključivanje novog podstuba - </w:t>
      </w:r>
      <w:r w:rsidR="003818F5" w:rsidRPr="009D0BAB">
        <w:rPr>
          <w:rFonts w:ascii="Times New Roman" w:eastAsia="Calibri" w:hAnsi="Times New Roman"/>
          <w:lang w:val="sr-Latn-RS"/>
        </w:rPr>
        <w:t>Orijentisanost</w:t>
      </w:r>
      <w:r w:rsidR="00FA378C" w:rsidRPr="009D0BAB">
        <w:rPr>
          <w:rFonts w:ascii="Times New Roman" w:eastAsia="Calibri" w:hAnsi="Times New Roman"/>
          <w:lang w:val="sr-Latn-RS"/>
        </w:rPr>
        <w:t xml:space="preserve"> vlasti ka budućnosti. U </w:t>
      </w:r>
      <w:r w:rsidR="003818F5" w:rsidRPr="009D0BAB">
        <w:rPr>
          <w:rFonts w:ascii="Times New Roman" w:eastAsia="Calibri" w:hAnsi="Times New Roman"/>
          <w:lang w:val="sr-Latn-RS"/>
        </w:rPr>
        <w:t>prošlogodišnjoj</w:t>
      </w:r>
      <w:r w:rsidR="00FA378C" w:rsidRPr="009D0BAB">
        <w:rPr>
          <w:rFonts w:ascii="Times New Roman" w:eastAsia="Calibri" w:hAnsi="Times New Roman"/>
          <w:lang w:val="sr-Latn-RS"/>
        </w:rPr>
        <w:t xml:space="preserve"> verziji izveštaja ova dimenzija je bila uključena preko jednog indikatora dok se sada javlja kao zasebni element stuba Institucije i njegovu vrednos</w:t>
      </w:r>
      <w:r w:rsidR="001F5427">
        <w:rPr>
          <w:rFonts w:ascii="Times New Roman" w:eastAsia="Calibri" w:hAnsi="Times New Roman"/>
          <w:lang w:val="sr-Latn-RS"/>
        </w:rPr>
        <w:t xml:space="preserve">t određuje 7 indikatora koji se jednim delom dobijaju na osnovu </w:t>
      </w:r>
      <w:r w:rsidR="00FA378C" w:rsidRPr="009D0BAB">
        <w:rPr>
          <w:rFonts w:ascii="Times New Roman" w:eastAsia="Calibri" w:hAnsi="Times New Roman"/>
          <w:lang w:val="sr-Latn-RS"/>
        </w:rPr>
        <w:t xml:space="preserve">odgovora iz ankete </w:t>
      </w:r>
      <w:r w:rsidR="00426DD2" w:rsidRPr="009D0BAB">
        <w:rPr>
          <w:rFonts w:ascii="Times New Roman" w:eastAsia="Calibri" w:hAnsi="Times New Roman"/>
          <w:lang w:val="sr-Latn-RS"/>
        </w:rPr>
        <w:t>privrednik</w:t>
      </w:r>
      <w:r w:rsidR="00FA378C" w:rsidRPr="009D0BAB">
        <w:rPr>
          <w:rFonts w:ascii="Times New Roman" w:eastAsia="Calibri" w:hAnsi="Times New Roman"/>
          <w:lang w:val="sr-Latn-RS"/>
        </w:rPr>
        <w:t>a</w:t>
      </w:r>
      <w:r w:rsidR="001F5427">
        <w:rPr>
          <w:rFonts w:ascii="Times New Roman" w:eastAsia="Calibri" w:hAnsi="Times New Roman"/>
          <w:lang w:val="sr-Latn-RS"/>
        </w:rPr>
        <w:t xml:space="preserve"> a delom iz međunarodnih uporedivih baza</w:t>
      </w:r>
      <w:r w:rsidR="00FA378C" w:rsidRPr="009D0BAB">
        <w:rPr>
          <w:rFonts w:ascii="Times New Roman" w:eastAsia="Calibri" w:hAnsi="Times New Roman"/>
          <w:lang w:val="sr-Latn-RS"/>
        </w:rPr>
        <w:t>. Vrednost indeksa na nivou stuba Institucije povećana je za 0,9 poena u odnosu na rezultat iz 2018. godine čemu su najviše doprineli bolji odgovori na pitanja iz ankete ali i nešto manji broj ubistava na hiljadu stanovnika u poređenju sa ostalim zemljama, kao i vrednost indeksa socijalnog kapitala koji se preuzima iz baze Legatum Indeks Napretka</w:t>
      </w:r>
      <w:r w:rsidR="00FA378C" w:rsidRPr="009D0BAB">
        <w:rPr>
          <w:rStyle w:val="FootnoteReference"/>
          <w:rFonts w:ascii="Times New Roman" w:eastAsia="Calibri" w:hAnsi="Times New Roman"/>
          <w:lang w:val="sr-Latn-RS"/>
        </w:rPr>
        <w:footnoteReference w:id="3"/>
      </w:r>
      <w:r w:rsidR="003605FD" w:rsidRPr="009D0BAB">
        <w:rPr>
          <w:rFonts w:ascii="Times New Roman" w:eastAsia="Calibri" w:hAnsi="Times New Roman"/>
          <w:lang w:val="sr-Latn-RS"/>
        </w:rPr>
        <w:t xml:space="preserve">. </w:t>
      </w:r>
    </w:p>
    <w:p w14:paraId="5D99E99C" w14:textId="77777777" w:rsidR="00E5451B" w:rsidRPr="009D0BAB" w:rsidRDefault="00E5451B" w:rsidP="00E5451B">
      <w:pPr>
        <w:ind w:firstLine="708"/>
        <w:jc w:val="both"/>
        <w:rPr>
          <w:rFonts w:ascii="Times New Roman" w:eastAsia="Calibri" w:hAnsi="Times New Roman"/>
          <w:lang w:val="sr-Latn-RS"/>
        </w:rPr>
      </w:pPr>
    </w:p>
    <w:p w14:paraId="74A3EF18" w14:textId="77C81AC0" w:rsidR="00BC6937" w:rsidRPr="009D0BAB" w:rsidRDefault="00914411" w:rsidP="00E5451B">
      <w:pPr>
        <w:jc w:val="both"/>
        <w:rPr>
          <w:rFonts w:ascii="Times New Roman" w:eastAsia="Calibri" w:hAnsi="Times New Roman"/>
          <w:lang w:val="sr-Latn-RS"/>
        </w:rPr>
      </w:pPr>
      <w:r w:rsidRPr="009D0BAB">
        <w:rPr>
          <w:rFonts w:ascii="Times New Roman" w:eastAsia="Calibri" w:hAnsi="Times New Roman"/>
          <w:b/>
          <w:noProof/>
          <w:sz w:val="16"/>
          <w:lang w:val="sr-Latn-RS" w:eastAsia="sr-Latn-RS"/>
        </w:rPr>
        <mc:AlternateContent>
          <mc:Choice Requires="wps">
            <w:drawing>
              <wp:anchor distT="45720" distB="45720" distL="114300" distR="114300" simplePos="0" relativeHeight="251678720" behindDoc="0" locked="0" layoutInCell="1" allowOverlap="1" wp14:anchorId="46573771" wp14:editId="61AE3A26">
                <wp:simplePos x="0" y="0"/>
                <wp:positionH relativeFrom="column">
                  <wp:posOffset>4721225</wp:posOffset>
                </wp:positionH>
                <wp:positionV relativeFrom="paragraph">
                  <wp:posOffset>369570</wp:posOffset>
                </wp:positionV>
                <wp:extent cx="1487170" cy="75565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55650"/>
                        </a:xfrm>
                        <a:prstGeom prst="rect">
                          <a:avLst/>
                        </a:prstGeom>
                        <a:solidFill>
                          <a:srgbClr val="FBECEE"/>
                        </a:solidFill>
                        <a:ln w="9525">
                          <a:solidFill>
                            <a:srgbClr val="EFA0AC"/>
                          </a:solidFill>
                          <a:miter lim="800000"/>
                          <a:headEnd/>
                          <a:tailEnd/>
                        </a:ln>
                      </wps:spPr>
                      <wps:txbx>
                        <w:txbxContent>
                          <w:p w14:paraId="452AB8D8" w14:textId="5DE769A3" w:rsidR="0034127F" w:rsidRPr="00EE5C03" w:rsidRDefault="009D0BAB" w:rsidP="00914411">
                            <w:pPr>
                              <w:jc w:val="center"/>
                              <w:rPr>
                                <w:rFonts w:ascii="Times New Roman" w:hAnsi="Times New Roman"/>
                              </w:rPr>
                            </w:pPr>
                            <w:r>
                              <w:rPr>
                                <w:rFonts w:ascii="Times New Roman" w:hAnsi="Times New Roman"/>
                              </w:rPr>
                              <w:t xml:space="preserve">Podržavajuće </w:t>
                            </w:r>
                            <w:r w:rsidR="0034127F" w:rsidRPr="00EE5C03">
                              <w:rPr>
                                <w:rFonts w:ascii="Times New Roman" w:hAnsi="Times New Roman"/>
                              </w:rPr>
                              <w:t>okruženje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73771" id="_x0000_t202" coordsize="21600,21600" o:spt="202" path="m,l,21600r21600,l21600,xe">
                <v:stroke joinstyle="miter"/>
                <v:path gradientshapeok="t" o:connecttype="rect"/>
              </v:shapetype>
              <v:shape id="Text Box 2" o:spid="_x0000_s1026" type="#_x0000_t202" style="position:absolute;left:0;text-align:left;margin-left:371.75pt;margin-top:29.1pt;width:117.1pt;height:5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" fillcolor="#fbecee" strokecolor="#efa0ac">
                <v:textbox>
                  <w:txbxContent>
                    <w:p w14:paraId="452AB8D8" w14:textId="5DE769A3" w:rsidR="0034127F" w:rsidRPr="00EE5C03" w:rsidRDefault="009D0BAB" w:rsidP="00914411">
                      <w:pPr>
                        <w:jc w:val="center"/>
                        <w:rPr>
                          <w:rFonts w:ascii="Times New Roman" w:hAnsi="Times New Roman"/>
                        </w:rPr>
                      </w:pPr>
                      <w:r>
                        <w:rPr>
                          <w:rFonts w:ascii="Times New Roman" w:hAnsi="Times New Roman"/>
                        </w:rPr>
                        <w:t xml:space="preserve">Podržavajuće </w:t>
                      </w:r>
                      <w:r w:rsidR="0034127F" w:rsidRPr="00EE5C03">
                        <w:rPr>
                          <w:rFonts w:ascii="Times New Roman" w:hAnsi="Times New Roman"/>
                        </w:rPr>
                        <w:t>okruženje</w:t>
                      </w:r>
                    </w:p>
                  </w:txbxContent>
                </v:textbox>
                <w10:wrap type="square"/>
              </v:shape>
            </w:pict>
          </mc:Fallback>
        </mc:AlternateContent>
      </w:r>
      <w:r w:rsidRPr="009D0BAB">
        <w:rPr>
          <w:rFonts w:ascii="Times New Roman" w:eastAsia="Calibri" w:hAnsi="Times New Roman"/>
          <w:b/>
          <w:noProof/>
          <w:sz w:val="16"/>
          <w:lang w:val="sr-Latn-RS" w:eastAsia="sr-Latn-RS"/>
        </w:rPr>
        <mc:AlternateContent>
          <mc:Choice Requires="wps">
            <w:drawing>
              <wp:anchor distT="0" distB="0" distL="114300" distR="114300" simplePos="0" relativeHeight="251679744" behindDoc="0" locked="0" layoutInCell="1" allowOverlap="1" wp14:anchorId="0FF28B60" wp14:editId="1E06F9FA">
                <wp:simplePos x="0" y="0"/>
                <wp:positionH relativeFrom="column">
                  <wp:posOffset>4721727</wp:posOffset>
                </wp:positionH>
                <wp:positionV relativeFrom="paragraph">
                  <wp:posOffset>1155173</wp:posOffset>
                </wp:positionV>
                <wp:extent cx="1487625" cy="395605"/>
                <wp:effectExtent l="0" t="0" r="17780" b="23495"/>
                <wp:wrapNone/>
                <wp:docPr id="8" name="Text Box 8"/>
                <wp:cNvGraphicFramePr/>
                <a:graphic xmlns:a="http://schemas.openxmlformats.org/drawingml/2006/main">
                  <a:graphicData uri="http://schemas.microsoft.com/office/word/2010/wordprocessingShape">
                    <wps:wsp>
                      <wps:cNvSpPr txBox="1"/>
                      <wps:spPr>
                        <a:xfrm>
                          <a:off x="0" y="0"/>
                          <a:ext cx="1487625" cy="395605"/>
                        </a:xfrm>
                        <a:prstGeom prst="rect">
                          <a:avLst/>
                        </a:prstGeom>
                        <a:solidFill>
                          <a:srgbClr val="FCF1E8"/>
                        </a:solidFill>
                        <a:ln w="6350">
                          <a:solidFill>
                            <a:srgbClr val="F5BF9B"/>
                          </a:solidFill>
                        </a:ln>
                      </wps:spPr>
                      <wps:txbx>
                        <w:txbxContent>
                          <w:p w14:paraId="0164BE0A"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Ljudski 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FF28B60" id="Text Box 8" o:spid="_x0000_s1027" type="#_x0000_t202" style="position:absolute;left:0;text-align:left;margin-left:371.8pt;margin-top:90.95pt;width:117.15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" fillcolor="#fcf1e8" strokecolor="#f5bf9b" strokeweight=".5pt">
                <v:textbox>
                  <w:txbxContent>
                    <w:p w14:paraId="0164BE0A"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Ljudski kapital</w:t>
                      </w:r>
                    </w:p>
                  </w:txbxContent>
                </v:textbox>
              </v:shape>
            </w:pict>
          </mc:Fallback>
        </mc:AlternateContent>
      </w:r>
      <w:r w:rsidRPr="009D0BAB">
        <w:rPr>
          <w:rFonts w:ascii="Times New Roman" w:eastAsia="Calibri" w:hAnsi="Times New Roman"/>
          <w:b/>
          <w:noProof/>
          <w:sz w:val="16"/>
          <w:lang w:val="sr-Latn-RS" w:eastAsia="sr-Latn-RS"/>
        </w:rPr>
        <mc:AlternateContent>
          <mc:Choice Requires="wps">
            <w:drawing>
              <wp:anchor distT="0" distB="0" distL="114300" distR="114300" simplePos="0" relativeHeight="251680768" behindDoc="0" locked="0" layoutInCell="1" allowOverlap="1" wp14:anchorId="086F6BE0" wp14:editId="6090C59B">
                <wp:simplePos x="0" y="0"/>
                <wp:positionH relativeFrom="column">
                  <wp:posOffset>4721727</wp:posOffset>
                </wp:positionH>
                <wp:positionV relativeFrom="paragraph">
                  <wp:posOffset>1586494</wp:posOffset>
                </wp:positionV>
                <wp:extent cx="1487625" cy="723265"/>
                <wp:effectExtent l="0" t="0" r="17780" b="19685"/>
                <wp:wrapNone/>
                <wp:docPr id="9" name="Text Box 9"/>
                <wp:cNvGraphicFramePr/>
                <a:graphic xmlns:a="http://schemas.openxmlformats.org/drawingml/2006/main">
                  <a:graphicData uri="http://schemas.microsoft.com/office/word/2010/wordprocessingShape">
                    <wps:wsp>
                      <wps:cNvSpPr txBox="1"/>
                      <wps:spPr>
                        <a:xfrm>
                          <a:off x="0" y="0"/>
                          <a:ext cx="1487625" cy="723265"/>
                        </a:xfrm>
                        <a:prstGeom prst="rect">
                          <a:avLst/>
                        </a:prstGeom>
                        <a:solidFill>
                          <a:srgbClr val="F4F4F9"/>
                        </a:solidFill>
                        <a:ln w="6350">
                          <a:solidFill>
                            <a:srgbClr val="A8A9CE"/>
                          </a:solidFill>
                        </a:ln>
                      </wps:spPr>
                      <wps:txbx>
                        <w:txbxContent>
                          <w:p w14:paraId="52E07555"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Tržište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86F6BE0" id="Text Box 9" o:spid="_x0000_s1028" type="#_x0000_t202" style="position:absolute;left:0;text-align:left;margin-left:371.8pt;margin-top:124.9pt;width:117.15pt;height:56.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" fillcolor="#f4f4f9" strokecolor="#a8a9ce" strokeweight=".5pt">
                <v:textbox>
                  <w:txbxContent>
                    <w:p w14:paraId="52E07555"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Tržište</w:t>
                      </w:r>
                    </w:p>
                  </w:txbxContent>
                </v:textbox>
              </v:shape>
            </w:pict>
          </mc:Fallback>
        </mc:AlternateContent>
      </w:r>
      <w:r w:rsidRPr="009D0BAB">
        <w:rPr>
          <w:rFonts w:ascii="Times New Roman" w:eastAsia="Calibri" w:hAnsi="Times New Roman"/>
          <w:b/>
          <w:noProof/>
          <w:sz w:val="16"/>
          <w:lang w:val="sr-Latn-RS" w:eastAsia="sr-Latn-RS"/>
        </w:rPr>
        <mc:AlternateContent>
          <mc:Choice Requires="wps">
            <w:drawing>
              <wp:anchor distT="0" distB="0" distL="114300" distR="114300" simplePos="0" relativeHeight="251681792" behindDoc="0" locked="0" layoutInCell="1" allowOverlap="1" wp14:anchorId="71BE4E1F" wp14:editId="683D5B06">
                <wp:simplePos x="0" y="0"/>
                <wp:positionH relativeFrom="column">
                  <wp:posOffset>4721727</wp:posOffset>
                </wp:positionH>
                <wp:positionV relativeFrom="paragraph">
                  <wp:posOffset>2345618</wp:posOffset>
                </wp:positionV>
                <wp:extent cx="1487625" cy="359410"/>
                <wp:effectExtent l="0" t="0" r="17780" b="21590"/>
                <wp:wrapNone/>
                <wp:docPr id="10" name="Text Box 10"/>
                <wp:cNvGraphicFramePr/>
                <a:graphic xmlns:a="http://schemas.openxmlformats.org/drawingml/2006/main">
                  <a:graphicData uri="http://schemas.microsoft.com/office/word/2010/wordprocessingShape">
                    <wps:wsp>
                      <wps:cNvSpPr txBox="1"/>
                      <wps:spPr>
                        <a:xfrm>
                          <a:off x="0" y="0"/>
                          <a:ext cx="1487625" cy="359410"/>
                        </a:xfrm>
                        <a:prstGeom prst="rect">
                          <a:avLst/>
                        </a:prstGeom>
                        <a:solidFill>
                          <a:srgbClr val="EBF6F2"/>
                        </a:solidFill>
                        <a:ln w="6350">
                          <a:solidFill>
                            <a:srgbClr val="B9E0D2"/>
                          </a:solidFill>
                        </a:ln>
                      </wps:spPr>
                      <wps:txbx>
                        <w:txbxContent>
                          <w:p w14:paraId="25E9AEF8"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Ekosistem inovacija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1BE4E1F" id="Text Box 10" o:spid="_x0000_s1029" type="#_x0000_t202" style="position:absolute;left:0;text-align:left;margin-left:371.8pt;margin-top:184.7pt;width:117.15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" fillcolor="#ebf6f2" strokecolor="#b9e0d2" strokeweight=".5pt">
                <v:textbox>
                  <w:txbxContent>
                    <w:p w14:paraId="25E9AEF8" w14:textId="77777777" w:rsidR="0034127F" w:rsidRPr="00EE5C03" w:rsidRDefault="0034127F" w:rsidP="00914411">
                      <w:pPr>
                        <w:jc w:val="center"/>
                        <w:rPr>
                          <w:rFonts w:ascii="Times New Roman" w:hAnsi="Times New Roman"/>
                          <w:lang w:val="sr-Latn-RS"/>
                        </w:rPr>
                      </w:pPr>
                      <w:r w:rsidRPr="00EE5C03">
                        <w:rPr>
                          <w:rFonts w:ascii="Times New Roman" w:hAnsi="Times New Roman"/>
                          <w:lang w:val="sr-Latn-RS"/>
                        </w:rPr>
                        <w:t>Ekosistem inovacija</w:t>
                      </w:r>
                    </w:p>
                  </w:txbxContent>
                </v:textbox>
              </v:shape>
            </w:pict>
          </mc:Fallback>
        </mc:AlternateContent>
      </w:r>
      <w:r w:rsidR="00E5451B" w:rsidRPr="009D0BAB">
        <w:rPr>
          <w:rFonts w:ascii="Times New Roman" w:eastAsia="Calibri" w:hAnsi="Times New Roman"/>
          <w:b/>
          <w:lang w:val="sr-Latn-RS"/>
        </w:rPr>
        <w:t>Tabela 3.</w:t>
      </w:r>
      <w:r w:rsidR="00E5451B" w:rsidRPr="009D0BAB">
        <w:rPr>
          <w:rFonts w:ascii="Times New Roman" w:eastAsia="Calibri" w:hAnsi="Times New Roman"/>
          <w:lang w:val="sr-Latn-RS"/>
        </w:rPr>
        <w:t xml:space="preserve"> Vrednost IGK po stubovima konkurentnosti (2017-201</w:t>
      </w:r>
      <w:r w:rsidR="00A40195" w:rsidRPr="009D0BAB">
        <w:rPr>
          <w:rFonts w:ascii="Times New Roman" w:eastAsia="Calibri" w:hAnsi="Times New Roman"/>
          <w:lang w:val="sr-Latn-RS"/>
        </w:rPr>
        <w:t>9</w:t>
      </w:r>
      <w:r w:rsidR="00E5451B" w:rsidRPr="009D0BAB">
        <w:rPr>
          <w:rFonts w:ascii="Times New Roman" w:eastAsia="Calibri" w:hAnsi="Times New Roman"/>
          <w:lang w:val="sr-Latn-RS"/>
        </w:rPr>
        <w:t>.)</w:t>
      </w:r>
    </w:p>
    <w:tbl>
      <w:tblPr>
        <w:tblW w:w="6957" w:type="dxa"/>
        <w:jc w:val="center"/>
        <w:tblCellMar>
          <w:left w:w="0" w:type="dxa"/>
          <w:right w:w="0" w:type="dxa"/>
        </w:tblCellMar>
        <w:tblLook w:val="04A0" w:firstRow="1" w:lastRow="0" w:firstColumn="1" w:lastColumn="0" w:noHBand="0" w:noVBand="1"/>
      </w:tblPr>
      <w:tblGrid>
        <w:gridCol w:w="2955"/>
        <w:gridCol w:w="813"/>
        <w:gridCol w:w="906"/>
        <w:gridCol w:w="752"/>
        <w:gridCol w:w="793"/>
        <w:gridCol w:w="738"/>
      </w:tblGrid>
      <w:tr w:rsidR="00914411" w:rsidRPr="009D0BAB" w14:paraId="38EF123A" w14:textId="11515A3E" w:rsidTr="00914411">
        <w:trPr>
          <w:trHeight w:val="273"/>
          <w:jc w:val="center"/>
        </w:trPr>
        <w:tc>
          <w:tcPr>
            <w:tcW w:w="2967"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50185B5C" w14:textId="77777777" w:rsidR="00914411" w:rsidRPr="009D0BAB" w:rsidRDefault="00914411" w:rsidP="00BC6937">
            <w:pPr>
              <w:rPr>
                <w:rFonts w:ascii="Times New Roman" w:hAnsi="Times New Roman"/>
                <w:sz w:val="18"/>
                <w:szCs w:val="18"/>
                <w:lang w:val="sr-Latn-RS" w:eastAsia="en-GB"/>
              </w:rPr>
            </w:pPr>
          </w:p>
        </w:tc>
        <w:tc>
          <w:tcPr>
            <w:tcW w:w="815"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5175CB23"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text1"/>
                <w:kern w:val="24"/>
                <w:sz w:val="18"/>
                <w:szCs w:val="18"/>
                <w:lang w:val="sr-Latn-RS" w:eastAsia="en-GB"/>
              </w:rPr>
              <w:t>2017</w:t>
            </w:r>
          </w:p>
        </w:tc>
        <w:tc>
          <w:tcPr>
            <w:tcW w:w="886"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2EFEDB14"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text1"/>
                <w:kern w:val="24"/>
                <w:sz w:val="18"/>
                <w:szCs w:val="18"/>
                <w:lang w:val="sr-Latn-RS" w:eastAsia="en-GB"/>
              </w:rPr>
              <w:t>Promene</w:t>
            </w:r>
          </w:p>
        </w:tc>
        <w:tc>
          <w:tcPr>
            <w:tcW w:w="754"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02274E2F"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text1"/>
                <w:kern w:val="24"/>
                <w:sz w:val="18"/>
                <w:szCs w:val="18"/>
                <w:lang w:val="sr-Latn-RS" w:eastAsia="en-GB"/>
              </w:rPr>
              <w:t>2018</w:t>
            </w:r>
          </w:p>
        </w:tc>
        <w:tc>
          <w:tcPr>
            <w:tcW w:w="794" w:type="dxa"/>
            <w:tcBorders>
              <w:top w:val="single" w:sz="8" w:space="0" w:color="FFFFFF"/>
              <w:left w:val="single" w:sz="8" w:space="0" w:color="FFFFFF"/>
              <w:bottom w:val="single" w:sz="8" w:space="0" w:color="EFA0AC"/>
              <w:right w:val="single" w:sz="8" w:space="0" w:color="FFFFFF"/>
            </w:tcBorders>
            <w:shd w:val="clear" w:color="auto" w:fill="D7D7D7"/>
            <w:vAlign w:val="center"/>
          </w:tcPr>
          <w:p w14:paraId="501BB07E" w14:textId="75BF530F"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Promena</w:t>
            </w:r>
          </w:p>
        </w:tc>
        <w:tc>
          <w:tcPr>
            <w:tcW w:w="741" w:type="dxa"/>
            <w:tcBorders>
              <w:top w:val="single" w:sz="8" w:space="0" w:color="FFFFFF"/>
              <w:left w:val="single" w:sz="8" w:space="0" w:color="FFFFFF"/>
              <w:bottom w:val="single" w:sz="8" w:space="0" w:color="EFA0AC"/>
              <w:right w:val="single" w:sz="8" w:space="0" w:color="FFFFFF"/>
            </w:tcBorders>
            <w:shd w:val="clear" w:color="auto" w:fill="D7D7D7"/>
            <w:vAlign w:val="center"/>
          </w:tcPr>
          <w:p w14:paraId="78FFA92D" w14:textId="337081CB"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2019</w:t>
            </w:r>
          </w:p>
        </w:tc>
      </w:tr>
      <w:tr w:rsidR="00914411" w:rsidRPr="009D0BAB" w14:paraId="1AC19BB1" w14:textId="030A2D72" w:rsidTr="00914411">
        <w:trPr>
          <w:trHeight w:val="273"/>
          <w:jc w:val="center"/>
        </w:trPr>
        <w:tc>
          <w:tcPr>
            <w:tcW w:w="2967"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469B1AE8"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1. Institucije</w:t>
            </w:r>
          </w:p>
        </w:tc>
        <w:tc>
          <w:tcPr>
            <w:tcW w:w="815"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47640CF9"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53,0</w:t>
            </w:r>
          </w:p>
        </w:tc>
        <w:tc>
          <w:tcPr>
            <w:tcW w:w="886"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64528C5D" w14:textId="77777777" w:rsidR="00914411" w:rsidRPr="009D0BAB" w:rsidRDefault="00914411" w:rsidP="00BC6937">
            <w:pPr>
              <w:jc w:val="center"/>
              <w:rPr>
                <w:rFonts w:ascii="Times New Roman" w:hAnsi="Times New Roman"/>
                <w:b/>
                <w:sz w:val="18"/>
                <w:szCs w:val="18"/>
                <w:lang w:val="sr-Latn-RS" w:eastAsia="en-GB"/>
              </w:rPr>
            </w:pPr>
            <w:r w:rsidRPr="009D0BAB">
              <w:rPr>
                <w:rFonts w:ascii="Segoe UI Emoji" w:hAnsi="Segoe UI Emoji" w:cs="Segoe UI Emoji"/>
                <w:b/>
                <w:color w:val="000000" w:themeColor="dark1"/>
                <w:kern w:val="24"/>
                <w:sz w:val="18"/>
                <w:szCs w:val="18"/>
                <w:highlight w:val="red"/>
                <w:lang w:val="sr-Latn-RS" w:eastAsia="en-GB"/>
              </w:rPr>
              <w:t>↘</w:t>
            </w:r>
          </w:p>
        </w:tc>
        <w:tc>
          <w:tcPr>
            <w:tcW w:w="75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4DDFB8CE"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51,6</w:t>
            </w:r>
          </w:p>
        </w:tc>
        <w:tc>
          <w:tcPr>
            <w:tcW w:w="794"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5448359F" w14:textId="5E1E1AE0"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387E18E6" w14:textId="77FE4623"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52,5</w:t>
            </w:r>
          </w:p>
        </w:tc>
      </w:tr>
      <w:tr w:rsidR="00914411" w:rsidRPr="009D0BAB" w14:paraId="1E1C5C6A" w14:textId="588E0905" w:rsidTr="00914411">
        <w:trPr>
          <w:trHeight w:val="273"/>
          <w:jc w:val="center"/>
        </w:trPr>
        <w:tc>
          <w:tcPr>
            <w:tcW w:w="2967"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107E9B83"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2. Infrastruktura</w:t>
            </w:r>
          </w:p>
        </w:tc>
        <w:tc>
          <w:tcPr>
            <w:tcW w:w="815"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6420ABA2"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71,9</w:t>
            </w:r>
          </w:p>
        </w:tc>
        <w:tc>
          <w:tcPr>
            <w:tcW w:w="886"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546544C9"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4C0CB22E"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73,0</w:t>
            </w:r>
          </w:p>
        </w:tc>
        <w:tc>
          <w:tcPr>
            <w:tcW w:w="794"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6F76016F" w14:textId="43F9FC29"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5BFCF103" w14:textId="3CA20FFD"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73,8</w:t>
            </w:r>
          </w:p>
        </w:tc>
      </w:tr>
      <w:tr w:rsidR="00914411" w:rsidRPr="009D0BAB" w14:paraId="2695B471" w14:textId="11B6E505" w:rsidTr="00914411">
        <w:trPr>
          <w:trHeight w:val="273"/>
          <w:jc w:val="center"/>
        </w:trPr>
        <w:tc>
          <w:tcPr>
            <w:tcW w:w="2967"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41120FD8"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3. Usvajanje IKT-a</w:t>
            </w:r>
          </w:p>
        </w:tc>
        <w:tc>
          <w:tcPr>
            <w:tcW w:w="815"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6CF6BA4A"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55,3</w:t>
            </w:r>
          </w:p>
        </w:tc>
        <w:tc>
          <w:tcPr>
            <w:tcW w:w="886"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5055AD81"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01EE1B30"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56,9</w:t>
            </w:r>
          </w:p>
        </w:tc>
        <w:tc>
          <w:tcPr>
            <w:tcW w:w="794"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3B51FB6E" w14:textId="3DADE0E0"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color w:val="000000" w:themeColor="dark1"/>
                <w:kern w:val="24"/>
                <w:sz w:val="18"/>
                <w:szCs w:val="18"/>
                <w:highlight w:val="red"/>
                <w:lang w:val="sr-Latn-RS" w:eastAsia="en-GB"/>
              </w:rPr>
              <w:t>↘</w:t>
            </w:r>
          </w:p>
        </w:tc>
        <w:tc>
          <w:tcPr>
            <w:tcW w:w="741" w:type="dxa"/>
            <w:tcBorders>
              <w:top w:val="single" w:sz="8" w:space="0" w:color="EFA0AC"/>
              <w:left w:val="single" w:sz="8" w:space="0" w:color="FFFFFF"/>
              <w:bottom w:val="single" w:sz="8" w:space="0" w:color="EFA0AC"/>
              <w:right w:val="single" w:sz="8" w:space="0" w:color="FFFFFF"/>
            </w:tcBorders>
            <w:shd w:val="clear" w:color="auto" w:fill="FBECEE"/>
            <w:vAlign w:val="center"/>
          </w:tcPr>
          <w:p w14:paraId="307CBDFE" w14:textId="65AA4546"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52,6</w:t>
            </w:r>
          </w:p>
        </w:tc>
      </w:tr>
      <w:tr w:rsidR="00914411" w:rsidRPr="009D0BAB" w14:paraId="28751EFA" w14:textId="3C91968F" w:rsidTr="00914411">
        <w:trPr>
          <w:trHeight w:val="273"/>
          <w:jc w:val="center"/>
        </w:trPr>
        <w:tc>
          <w:tcPr>
            <w:tcW w:w="2967"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583808C7"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4. Makroekonomska stabilnost</w:t>
            </w:r>
          </w:p>
        </w:tc>
        <w:tc>
          <w:tcPr>
            <w:tcW w:w="815"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78B58DD6"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70,0</w:t>
            </w:r>
          </w:p>
        </w:tc>
        <w:tc>
          <w:tcPr>
            <w:tcW w:w="886"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680F38E2"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kern w:val="24"/>
                <w:sz w:val="18"/>
                <w:szCs w:val="18"/>
                <w:highlight w:val="green"/>
                <w:lang w:val="sr-Latn-RS" w:eastAsia="en-GB"/>
              </w:rPr>
              <w:t>↗</w:t>
            </w:r>
          </w:p>
        </w:tc>
        <w:tc>
          <w:tcPr>
            <w:tcW w:w="754"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2B0636E8"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75,0</w:t>
            </w:r>
          </w:p>
        </w:tc>
        <w:tc>
          <w:tcPr>
            <w:tcW w:w="794" w:type="dxa"/>
            <w:tcBorders>
              <w:top w:val="single" w:sz="8" w:space="0" w:color="EFA0AC"/>
              <w:left w:val="single" w:sz="8" w:space="0" w:color="FFFFFF"/>
              <w:bottom w:val="single" w:sz="8" w:space="0" w:color="F5B88F"/>
              <w:right w:val="single" w:sz="8" w:space="0" w:color="FFFFFF"/>
            </w:tcBorders>
            <w:shd w:val="clear" w:color="auto" w:fill="FBECEE"/>
            <w:vAlign w:val="center"/>
          </w:tcPr>
          <w:p w14:paraId="2D2FE8E1" w14:textId="5CC3BA10"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w:t>
            </w:r>
          </w:p>
        </w:tc>
        <w:tc>
          <w:tcPr>
            <w:tcW w:w="741" w:type="dxa"/>
            <w:tcBorders>
              <w:top w:val="single" w:sz="8" w:space="0" w:color="EFA0AC"/>
              <w:left w:val="single" w:sz="8" w:space="0" w:color="FFFFFF"/>
              <w:bottom w:val="single" w:sz="8" w:space="0" w:color="F5B88F"/>
              <w:right w:val="single" w:sz="8" w:space="0" w:color="FFFFFF"/>
            </w:tcBorders>
            <w:shd w:val="clear" w:color="auto" w:fill="FBECEE"/>
            <w:vAlign w:val="center"/>
          </w:tcPr>
          <w:p w14:paraId="3849CB42" w14:textId="6D9703BF"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75,0</w:t>
            </w:r>
          </w:p>
        </w:tc>
      </w:tr>
      <w:tr w:rsidR="00914411" w:rsidRPr="009D0BAB" w14:paraId="22B9B71A" w14:textId="02077E9E" w:rsidTr="00914411">
        <w:trPr>
          <w:trHeight w:val="273"/>
          <w:jc w:val="center"/>
        </w:trPr>
        <w:tc>
          <w:tcPr>
            <w:tcW w:w="2967"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3032153E"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5. Zdravstvo</w:t>
            </w:r>
          </w:p>
        </w:tc>
        <w:tc>
          <w:tcPr>
            <w:tcW w:w="815"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0C65BCC0"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80,9</w:t>
            </w:r>
          </w:p>
        </w:tc>
        <w:tc>
          <w:tcPr>
            <w:tcW w:w="886"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3606C155"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3C339A78"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81,5</w:t>
            </w:r>
          </w:p>
        </w:tc>
        <w:tc>
          <w:tcPr>
            <w:tcW w:w="794" w:type="dxa"/>
            <w:tcBorders>
              <w:top w:val="single" w:sz="8" w:space="0" w:color="F5B88F"/>
              <w:left w:val="single" w:sz="8" w:space="0" w:color="FFFFFF"/>
              <w:bottom w:val="single" w:sz="8" w:space="0" w:color="F5B88F"/>
              <w:right w:val="single" w:sz="8" w:space="0" w:color="FFFFFF"/>
            </w:tcBorders>
            <w:shd w:val="clear" w:color="auto" w:fill="FCF1E8"/>
            <w:vAlign w:val="center"/>
          </w:tcPr>
          <w:p w14:paraId="54EBFAC6" w14:textId="5298D2EE"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color w:val="000000" w:themeColor="dark1"/>
                <w:kern w:val="24"/>
                <w:sz w:val="18"/>
                <w:szCs w:val="18"/>
                <w:highlight w:val="red"/>
                <w:lang w:val="sr-Latn-RS" w:eastAsia="en-GB"/>
              </w:rPr>
              <w:t>↘</w:t>
            </w:r>
          </w:p>
        </w:tc>
        <w:tc>
          <w:tcPr>
            <w:tcW w:w="741" w:type="dxa"/>
            <w:tcBorders>
              <w:top w:val="single" w:sz="8" w:space="0" w:color="F5B88F"/>
              <w:left w:val="single" w:sz="8" w:space="0" w:color="FFFFFF"/>
              <w:bottom w:val="single" w:sz="8" w:space="0" w:color="F5B88F"/>
              <w:right w:val="single" w:sz="8" w:space="0" w:color="FFFFFF"/>
            </w:tcBorders>
            <w:shd w:val="clear" w:color="auto" w:fill="FCF1E8"/>
            <w:vAlign w:val="center"/>
          </w:tcPr>
          <w:p w14:paraId="74912C7E" w14:textId="122E5204"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79,0</w:t>
            </w:r>
          </w:p>
        </w:tc>
      </w:tr>
      <w:tr w:rsidR="00914411" w:rsidRPr="009D0BAB" w14:paraId="072C213E" w14:textId="0064C75B" w:rsidTr="00914411">
        <w:trPr>
          <w:trHeight w:val="273"/>
          <w:jc w:val="center"/>
        </w:trPr>
        <w:tc>
          <w:tcPr>
            <w:tcW w:w="2967"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49B21B30"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6. Veštine</w:t>
            </w:r>
          </w:p>
        </w:tc>
        <w:tc>
          <w:tcPr>
            <w:tcW w:w="815"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50C9E9DC"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65,7</w:t>
            </w:r>
          </w:p>
        </w:tc>
        <w:tc>
          <w:tcPr>
            <w:tcW w:w="886"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6D1D8C90"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21A662E1"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67,5</w:t>
            </w:r>
          </w:p>
        </w:tc>
        <w:tc>
          <w:tcPr>
            <w:tcW w:w="794" w:type="dxa"/>
            <w:tcBorders>
              <w:top w:val="single" w:sz="8" w:space="0" w:color="F5B88F"/>
              <w:left w:val="single" w:sz="8" w:space="0" w:color="FFFFFF"/>
              <w:bottom w:val="single" w:sz="8" w:space="0" w:color="A8A9CE"/>
              <w:right w:val="single" w:sz="8" w:space="0" w:color="FFFFFF"/>
            </w:tcBorders>
            <w:shd w:val="clear" w:color="auto" w:fill="FCF1E8"/>
            <w:vAlign w:val="center"/>
          </w:tcPr>
          <w:p w14:paraId="35A6C18E" w14:textId="684B833D"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F5B88F"/>
              <w:left w:val="single" w:sz="8" w:space="0" w:color="FFFFFF"/>
              <w:bottom w:val="single" w:sz="8" w:space="0" w:color="A8A9CE"/>
              <w:right w:val="single" w:sz="8" w:space="0" w:color="FFFFFF"/>
            </w:tcBorders>
            <w:shd w:val="clear" w:color="auto" w:fill="FCF1E8"/>
            <w:vAlign w:val="center"/>
          </w:tcPr>
          <w:p w14:paraId="35408F8D" w14:textId="13E6AF3A"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68,2</w:t>
            </w:r>
          </w:p>
        </w:tc>
      </w:tr>
      <w:tr w:rsidR="00914411" w:rsidRPr="009D0BAB" w14:paraId="1CB8EBEF" w14:textId="08CFF57C" w:rsidTr="00914411">
        <w:trPr>
          <w:trHeight w:val="273"/>
          <w:jc w:val="center"/>
        </w:trPr>
        <w:tc>
          <w:tcPr>
            <w:tcW w:w="2967"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4303F049"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7. Tržište dobara</w:t>
            </w:r>
          </w:p>
        </w:tc>
        <w:tc>
          <w:tcPr>
            <w:tcW w:w="815"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0925F32B"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54,7</w:t>
            </w:r>
          </w:p>
        </w:tc>
        <w:tc>
          <w:tcPr>
            <w:tcW w:w="886"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0FEE7983"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4AB8559B"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56,5</w:t>
            </w:r>
          </w:p>
        </w:tc>
        <w:tc>
          <w:tcPr>
            <w:tcW w:w="794"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4397247A" w14:textId="4BE0E155"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color w:val="000000" w:themeColor="dark1"/>
                <w:kern w:val="24"/>
                <w:sz w:val="18"/>
                <w:szCs w:val="18"/>
                <w:highlight w:val="red"/>
                <w:lang w:val="sr-Latn-RS" w:eastAsia="en-GB"/>
              </w:rPr>
              <w:t>↘</w:t>
            </w:r>
          </w:p>
        </w:tc>
        <w:tc>
          <w:tcPr>
            <w:tcW w:w="741"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2D094F12" w14:textId="767F8217"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54,6</w:t>
            </w:r>
          </w:p>
        </w:tc>
      </w:tr>
      <w:tr w:rsidR="00914411" w:rsidRPr="009D0BAB" w14:paraId="21DD7F7A" w14:textId="592B21C8" w:rsidTr="00914411">
        <w:trPr>
          <w:trHeight w:val="273"/>
          <w:jc w:val="center"/>
        </w:trPr>
        <w:tc>
          <w:tcPr>
            <w:tcW w:w="2967"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7D3FF461"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8. Tržište rada</w:t>
            </w:r>
          </w:p>
        </w:tc>
        <w:tc>
          <w:tcPr>
            <w:tcW w:w="815"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198F3529"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60,5</w:t>
            </w:r>
          </w:p>
        </w:tc>
        <w:tc>
          <w:tcPr>
            <w:tcW w:w="886"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25F72C8E"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16750214"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61,5</w:t>
            </w:r>
          </w:p>
        </w:tc>
        <w:tc>
          <w:tcPr>
            <w:tcW w:w="794"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15DBE985" w14:textId="33F6ACE7"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66BBD0FE" w14:textId="52846B0F"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62,1</w:t>
            </w:r>
          </w:p>
        </w:tc>
      </w:tr>
      <w:tr w:rsidR="00914411" w:rsidRPr="009D0BAB" w14:paraId="2E3C3F42" w14:textId="4E4D8A39" w:rsidTr="00914411">
        <w:trPr>
          <w:trHeight w:val="273"/>
          <w:jc w:val="center"/>
        </w:trPr>
        <w:tc>
          <w:tcPr>
            <w:tcW w:w="2967"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4970265D"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9. Finansijski sistem</w:t>
            </w:r>
          </w:p>
        </w:tc>
        <w:tc>
          <w:tcPr>
            <w:tcW w:w="815"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6E7C9CB7"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51,9</w:t>
            </w:r>
          </w:p>
        </w:tc>
        <w:tc>
          <w:tcPr>
            <w:tcW w:w="886"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3D951E01"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1CACDA37"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55,9</w:t>
            </w:r>
          </w:p>
        </w:tc>
        <w:tc>
          <w:tcPr>
            <w:tcW w:w="794"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2BD9918E" w14:textId="1953E96B"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A8A9CE"/>
              <w:left w:val="single" w:sz="8" w:space="0" w:color="FFFFFF"/>
              <w:bottom w:val="single" w:sz="8" w:space="0" w:color="A8A9CE"/>
              <w:right w:val="single" w:sz="8" w:space="0" w:color="FFFFFF"/>
            </w:tcBorders>
            <w:shd w:val="clear" w:color="auto" w:fill="F4F4F9"/>
            <w:vAlign w:val="center"/>
          </w:tcPr>
          <w:p w14:paraId="0FBC8068" w14:textId="4EC8D9BA"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57,4</w:t>
            </w:r>
          </w:p>
        </w:tc>
      </w:tr>
      <w:tr w:rsidR="00914411" w:rsidRPr="009D0BAB" w14:paraId="0FCBAA9D" w14:textId="4D96C523" w:rsidTr="00914411">
        <w:trPr>
          <w:trHeight w:val="273"/>
          <w:jc w:val="center"/>
        </w:trPr>
        <w:tc>
          <w:tcPr>
            <w:tcW w:w="2967"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58538132"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10. Veličina tržišta</w:t>
            </w:r>
          </w:p>
        </w:tc>
        <w:tc>
          <w:tcPr>
            <w:tcW w:w="815"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16903A2D"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50,2</w:t>
            </w:r>
          </w:p>
        </w:tc>
        <w:tc>
          <w:tcPr>
            <w:tcW w:w="886"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3614901D"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4DE9721D"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50,7</w:t>
            </w:r>
          </w:p>
        </w:tc>
        <w:tc>
          <w:tcPr>
            <w:tcW w:w="794" w:type="dxa"/>
            <w:tcBorders>
              <w:top w:val="single" w:sz="8" w:space="0" w:color="A8A9CE"/>
              <w:left w:val="single" w:sz="8" w:space="0" w:color="FFFFFF"/>
              <w:bottom w:val="single" w:sz="8" w:space="0" w:color="9CD2BF"/>
              <w:right w:val="single" w:sz="8" w:space="0" w:color="FFFFFF"/>
            </w:tcBorders>
            <w:shd w:val="clear" w:color="auto" w:fill="F4F4F9"/>
            <w:vAlign w:val="center"/>
          </w:tcPr>
          <w:p w14:paraId="416EDE1E" w14:textId="432E7CFF"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A8A9CE"/>
              <w:left w:val="single" w:sz="8" w:space="0" w:color="FFFFFF"/>
              <w:bottom w:val="single" w:sz="8" w:space="0" w:color="9CD2BF"/>
              <w:right w:val="single" w:sz="8" w:space="0" w:color="FFFFFF"/>
            </w:tcBorders>
            <w:shd w:val="clear" w:color="auto" w:fill="F4F4F9"/>
            <w:vAlign w:val="center"/>
          </w:tcPr>
          <w:p w14:paraId="2C15A1C3" w14:textId="74C947A1"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51,8</w:t>
            </w:r>
          </w:p>
        </w:tc>
      </w:tr>
      <w:tr w:rsidR="00914411" w:rsidRPr="009D0BAB" w14:paraId="68DDA1D8" w14:textId="54EB8BB5" w:rsidTr="00914411">
        <w:trPr>
          <w:trHeight w:val="273"/>
          <w:jc w:val="center"/>
        </w:trPr>
        <w:tc>
          <w:tcPr>
            <w:tcW w:w="2967"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135D07FA"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11. Dinamika poslovanja</w:t>
            </w:r>
          </w:p>
        </w:tc>
        <w:tc>
          <w:tcPr>
            <w:tcW w:w="815"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7307CB79"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59,3</w:t>
            </w:r>
          </w:p>
        </w:tc>
        <w:tc>
          <w:tcPr>
            <w:tcW w:w="886"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0D15D001"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54"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18D97156"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60,9</w:t>
            </w:r>
          </w:p>
        </w:tc>
        <w:tc>
          <w:tcPr>
            <w:tcW w:w="794" w:type="dxa"/>
            <w:tcBorders>
              <w:top w:val="single" w:sz="8" w:space="0" w:color="9CD2BF"/>
              <w:left w:val="single" w:sz="8" w:space="0" w:color="FFFFFF"/>
              <w:bottom w:val="single" w:sz="8" w:space="0" w:color="9CD2BF"/>
              <w:right w:val="single" w:sz="8" w:space="0" w:color="FFFFFF"/>
            </w:tcBorders>
            <w:shd w:val="clear" w:color="auto" w:fill="EBF6F2"/>
            <w:vAlign w:val="center"/>
          </w:tcPr>
          <w:p w14:paraId="610AD83A" w14:textId="697E1548"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9CD2BF"/>
              <w:left w:val="single" w:sz="8" w:space="0" w:color="FFFFFF"/>
              <w:bottom w:val="single" w:sz="8" w:space="0" w:color="9CD2BF"/>
              <w:right w:val="single" w:sz="8" w:space="0" w:color="FFFFFF"/>
            </w:tcBorders>
            <w:shd w:val="clear" w:color="auto" w:fill="EBF6F2"/>
            <w:vAlign w:val="center"/>
          </w:tcPr>
          <w:p w14:paraId="6B5B7EBC" w14:textId="0420E44D"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63,1</w:t>
            </w:r>
          </w:p>
        </w:tc>
      </w:tr>
      <w:tr w:rsidR="00914411" w:rsidRPr="009D0BAB" w14:paraId="23DB1DB0" w14:textId="3019E64A" w:rsidTr="00914411">
        <w:trPr>
          <w:trHeight w:val="273"/>
          <w:jc w:val="center"/>
        </w:trPr>
        <w:tc>
          <w:tcPr>
            <w:tcW w:w="2967"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1996BEC0" w14:textId="77777777" w:rsidR="00914411" w:rsidRPr="009D0BAB" w:rsidRDefault="00914411" w:rsidP="00BC6937">
            <w:pPr>
              <w:rPr>
                <w:rFonts w:ascii="Times New Roman" w:hAnsi="Times New Roman"/>
                <w:sz w:val="18"/>
                <w:szCs w:val="18"/>
                <w:lang w:val="sr-Latn-RS" w:eastAsia="en-GB"/>
              </w:rPr>
            </w:pPr>
            <w:r w:rsidRPr="009D0BAB">
              <w:rPr>
                <w:rFonts w:ascii="Times New Roman" w:eastAsia="Roboto Slab" w:hAnsi="Times New Roman"/>
                <w:b/>
                <w:bCs/>
                <w:color w:val="000000" w:themeColor="text1"/>
                <w:kern w:val="24"/>
                <w:sz w:val="18"/>
                <w:szCs w:val="18"/>
                <w:lang w:val="sr-Latn-RS" w:eastAsia="en-GB"/>
              </w:rPr>
              <w:t>12. Sposobnost za inoviranjem</w:t>
            </w:r>
          </w:p>
        </w:tc>
        <w:tc>
          <w:tcPr>
            <w:tcW w:w="815"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47209913"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37,1</w:t>
            </w:r>
          </w:p>
        </w:tc>
        <w:tc>
          <w:tcPr>
            <w:tcW w:w="886"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489D5920" w14:textId="77777777" w:rsidR="00914411" w:rsidRPr="009D0BAB" w:rsidRDefault="00914411" w:rsidP="00BC6937">
            <w:pPr>
              <w:jc w:val="center"/>
              <w:rPr>
                <w:rFonts w:ascii="Times New Roman" w:hAnsi="Times New Roman"/>
                <w:sz w:val="18"/>
                <w:szCs w:val="18"/>
                <w:lang w:val="sr-Latn-RS" w:eastAsia="en-GB"/>
              </w:rPr>
            </w:pPr>
            <w:r w:rsidRPr="009D0BAB">
              <w:rPr>
                <w:rFonts w:ascii="Segoe UI Emoji" w:hAnsi="Segoe UI Emoji" w:cs="Segoe UI Emoji"/>
                <w:b/>
                <w:bCs/>
                <w:color w:val="000000"/>
                <w:kern w:val="24"/>
                <w:sz w:val="18"/>
                <w:szCs w:val="18"/>
                <w:highlight w:val="green"/>
                <w:lang w:val="sr-Latn-RS" w:eastAsia="en-GB"/>
              </w:rPr>
              <w:t>↗</w:t>
            </w:r>
          </w:p>
        </w:tc>
        <w:tc>
          <w:tcPr>
            <w:tcW w:w="754"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5770F7B1" w14:textId="77777777" w:rsidR="00914411" w:rsidRPr="009D0BAB" w:rsidRDefault="00914411" w:rsidP="00BC6937">
            <w:pPr>
              <w:jc w:val="center"/>
              <w:rPr>
                <w:rFonts w:ascii="Times New Roman" w:hAnsi="Times New Roman"/>
                <w:sz w:val="18"/>
                <w:szCs w:val="18"/>
                <w:lang w:val="sr-Latn-RS" w:eastAsia="en-GB"/>
              </w:rPr>
            </w:pPr>
            <w:r w:rsidRPr="009D0BAB">
              <w:rPr>
                <w:rFonts w:ascii="Times New Roman" w:hAnsi="Times New Roman"/>
                <w:b/>
                <w:bCs/>
                <w:color w:val="000000" w:themeColor="dark1"/>
                <w:kern w:val="24"/>
                <w:sz w:val="18"/>
                <w:szCs w:val="18"/>
                <w:lang w:val="sr-Latn-RS" w:eastAsia="en-GB"/>
              </w:rPr>
              <w:t>39,7</w:t>
            </w:r>
          </w:p>
        </w:tc>
        <w:tc>
          <w:tcPr>
            <w:tcW w:w="794" w:type="dxa"/>
            <w:tcBorders>
              <w:top w:val="single" w:sz="8" w:space="0" w:color="9CD2BF"/>
              <w:left w:val="single" w:sz="8" w:space="0" w:color="FFFFFF"/>
              <w:bottom w:val="single" w:sz="8" w:space="0" w:color="FFFFFF"/>
              <w:right w:val="single" w:sz="8" w:space="0" w:color="FFFFFF"/>
            </w:tcBorders>
            <w:shd w:val="clear" w:color="auto" w:fill="EBF6F2"/>
            <w:vAlign w:val="center"/>
          </w:tcPr>
          <w:p w14:paraId="7F2FB9AD" w14:textId="25035269"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Segoe UI Emoji" w:hAnsi="Segoe UI Emoji" w:cs="Segoe UI Emoji"/>
                <w:b/>
                <w:bCs/>
                <w:color w:val="000000" w:themeColor="dark1"/>
                <w:kern w:val="24"/>
                <w:sz w:val="18"/>
                <w:szCs w:val="18"/>
                <w:highlight w:val="green"/>
                <w:lang w:val="sr-Latn-RS" w:eastAsia="en-GB"/>
              </w:rPr>
              <w:t>↗</w:t>
            </w:r>
          </w:p>
        </w:tc>
        <w:tc>
          <w:tcPr>
            <w:tcW w:w="741" w:type="dxa"/>
            <w:tcBorders>
              <w:top w:val="single" w:sz="8" w:space="0" w:color="9CD2BF"/>
              <w:left w:val="single" w:sz="8" w:space="0" w:color="FFFFFF"/>
              <w:bottom w:val="single" w:sz="8" w:space="0" w:color="FFFFFF"/>
              <w:right w:val="single" w:sz="8" w:space="0" w:color="FFFFFF"/>
            </w:tcBorders>
            <w:shd w:val="clear" w:color="auto" w:fill="EBF6F2"/>
            <w:vAlign w:val="center"/>
          </w:tcPr>
          <w:p w14:paraId="6CA45F40" w14:textId="640D9955" w:rsidR="00914411" w:rsidRPr="009D0BAB" w:rsidRDefault="00914411" w:rsidP="00914411">
            <w:pPr>
              <w:jc w:val="center"/>
              <w:rPr>
                <w:rFonts w:ascii="Times New Roman" w:hAnsi="Times New Roman"/>
                <w:b/>
                <w:bCs/>
                <w:color w:val="000000" w:themeColor="text1"/>
                <w:kern w:val="24"/>
                <w:sz w:val="18"/>
                <w:szCs w:val="18"/>
                <w:lang w:val="sr-Latn-RS" w:eastAsia="en-GB"/>
              </w:rPr>
            </w:pPr>
            <w:r w:rsidRPr="009D0BAB">
              <w:rPr>
                <w:rFonts w:ascii="Times New Roman" w:hAnsi="Times New Roman"/>
                <w:b/>
                <w:bCs/>
                <w:color w:val="000000" w:themeColor="text1"/>
                <w:kern w:val="24"/>
                <w:sz w:val="18"/>
                <w:szCs w:val="18"/>
                <w:lang w:val="sr-Latn-RS" w:eastAsia="en-GB"/>
              </w:rPr>
              <w:t>40,2</w:t>
            </w:r>
          </w:p>
        </w:tc>
      </w:tr>
    </w:tbl>
    <w:p w14:paraId="280EC15B" w14:textId="77777777" w:rsidR="00E5451B" w:rsidRPr="009D0BAB" w:rsidRDefault="00E5451B" w:rsidP="008E0F0C">
      <w:pPr>
        <w:jc w:val="both"/>
        <w:rPr>
          <w:rFonts w:ascii="Times New Roman" w:eastAsia="Calibri" w:hAnsi="Times New Roman"/>
          <w:sz w:val="16"/>
          <w:lang w:val="sr-Latn-RS"/>
        </w:rPr>
      </w:pPr>
      <w:r w:rsidRPr="009D0BAB">
        <w:rPr>
          <w:rFonts w:ascii="Times New Roman" w:eastAsia="Calibri" w:hAnsi="Times New Roman"/>
          <w:lang w:val="sr-Latn-RS"/>
        </w:rPr>
        <w:t xml:space="preserve"> </w:t>
      </w:r>
      <w:r w:rsidRPr="009D0BAB">
        <w:rPr>
          <w:rFonts w:ascii="Times New Roman" w:eastAsia="Calibri" w:hAnsi="Times New Roman"/>
          <w:b/>
          <w:sz w:val="16"/>
          <w:lang w:val="sr-Latn-RS"/>
        </w:rPr>
        <w:t>Izvor:</w:t>
      </w:r>
      <w:r w:rsidRPr="009D0BAB">
        <w:rPr>
          <w:rFonts w:ascii="Times New Roman" w:eastAsia="Calibri" w:hAnsi="Times New Roman"/>
          <w:sz w:val="16"/>
          <w:lang w:val="sr-Latn-RS"/>
        </w:rPr>
        <w:t xml:space="preserve"> WEF 2018.</w:t>
      </w:r>
    </w:p>
    <w:p w14:paraId="591C806C" w14:textId="77777777" w:rsidR="008E0F0C" w:rsidRPr="009D0BAB" w:rsidRDefault="008E0F0C" w:rsidP="008E0F0C">
      <w:pPr>
        <w:jc w:val="both"/>
        <w:rPr>
          <w:rFonts w:ascii="Times New Roman" w:eastAsia="Calibri" w:hAnsi="Times New Roman"/>
          <w:sz w:val="16"/>
          <w:lang w:val="sr-Latn-RS"/>
        </w:rPr>
      </w:pPr>
    </w:p>
    <w:p w14:paraId="5D7D7329" w14:textId="22BEBA8E"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Rezultat stuba Infrastruktura povećan je za 0,8 poena u poređenju sa prošlom godinom čemu je najviše doprinelo povećanje pojedinačnog indikatora </w:t>
      </w:r>
      <w:r>
        <w:rPr>
          <w:rFonts w:ascii="Times New Roman" w:eastAsia="Calibri" w:hAnsi="Times New Roman"/>
          <w:lang w:val="sr-Latn-RS"/>
        </w:rPr>
        <w:t xml:space="preserve">- </w:t>
      </w:r>
      <w:r w:rsidRPr="009D0BAB">
        <w:rPr>
          <w:rFonts w:ascii="Times New Roman" w:eastAsia="Calibri" w:hAnsi="Times New Roman"/>
          <w:lang w:val="sr-Latn-RS"/>
        </w:rPr>
        <w:t xml:space="preserve">Putna povezanost </w:t>
      </w:r>
      <w:r>
        <w:rPr>
          <w:rFonts w:ascii="Times New Roman" w:eastAsia="Calibri" w:hAnsi="Times New Roman"/>
          <w:lang w:val="sr-Latn-RS"/>
        </w:rPr>
        <w:t xml:space="preserve">- </w:t>
      </w:r>
      <w:r w:rsidRPr="009D0BAB">
        <w:rPr>
          <w:rFonts w:ascii="Times New Roman" w:eastAsia="Calibri" w:hAnsi="Times New Roman"/>
          <w:lang w:val="sr-Latn-RS"/>
        </w:rPr>
        <w:t xml:space="preserve">koji je uvećan za 8,39 poena u odnosu na prošlu godinu. Ocena kvaliteta puteva koja se dobija iz ankete privrednika je takođe nešto bolja u odnosu na prošlogodišnju ali su ostali indikatori unutar ovog stuba (kako oni koji se dobijaju na osnovu ankete, tako i oni koji se preuzimaju iz međunarodnih uporedivih baza) zabeležili slabije rezultate. Ipak, to </w:t>
      </w:r>
      <w:r w:rsidRPr="009D0BAB">
        <w:rPr>
          <w:rFonts w:ascii="Times New Roman" w:eastAsia="Calibri" w:hAnsi="Times New Roman"/>
          <w:lang w:val="sr-Latn-RS"/>
        </w:rPr>
        <w:lastRenderedPageBreak/>
        <w:t xml:space="preserve">pogoršanje je relativno manje u poređenju sa skokom koji je zabeležio indeks putne povezanosti tako da je vrednost celokupnog stuba zabeležila rast u odnosu na prošlu godinu.        </w:t>
      </w:r>
    </w:p>
    <w:p w14:paraId="30B7E2BB" w14:textId="77777777"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Poboljšanje vrednosti koje je zabeleženo kod stuba Veštine iznosi 0,7 poena i najvećim delom se duguje znatno boljem odgovoru na pitanje iz ankete koje prati jednostavnost pronalaženja obučenih radnika (poboljšanje prosečnog odgovora za 0,3 poena što nakon normalizacije u poređenju sa ostalim zemljama predstavlja rast od 5,6 poena na skali 0-100). Takođe je bolje ocenjen i kvalitet stručnih škola i obuka i </w:t>
      </w:r>
      <w:r>
        <w:rPr>
          <w:rFonts w:ascii="Times New Roman" w:eastAsia="Calibri" w:hAnsi="Times New Roman"/>
          <w:lang w:val="sr-Latn-RS"/>
        </w:rPr>
        <w:t>insistiranje na kritičkom rasuđivanju</w:t>
      </w:r>
      <w:r w:rsidRPr="009D0BAB">
        <w:rPr>
          <w:rFonts w:ascii="Times New Roman" w:eastAsia="Calibri" w:hAnsi="Times New Roman"/>
          <w:lang w:val="sr-Latn-RS"/>
        </w:rPr>
        <w:t xml:space="preserve"> u nastavi. Bolji rezultati unutar ovog stuba postignuti su i kod pojedinih „tvrdih“ indikatora koji prate broj učenika na jednog u učitelja u školama, očekivani broj godina školovanja, kao i prosečan nivo obrazovanja populacije. Ono gde je zabeležen lošiji rezultat u odnosu na prošlu godinu su veštine maturanata, digitalne veštine na nivou populacije i obim obučenosti zaposlenih u nastavi. </w:t>
      </w:r>
    </w:p>
    <w:p w14:paraId="1981FCEC" w14:textId="77777777"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Bolji rezultat od 0,6 poena zabeležen je kod stuba Tržište rada koje se u najvećem delu </w:t>
      </w:r>
      <w:r>
        <w:rPr>
          <w:rFonts w:ascii="Times New Roman" w:eastAsia="Calibri" w:hAnsi="Times New Roman"/>
          <w:lang w:val="sr-Latn-RS"/>
        </w:rPr>
        <w:t xml:space="preserve">formira </w:t>
      </w:r>
      <w:r w:rsidRPr="009D0BAB">
        <w:rPr>
          <w:rFonts w:ascii="Times New Roman" w:eastAsia="Calibri" w:hAnsi="Times New Roman"/>
          <w:lang w:val="sr-Latn-RS"/>
        </w:rPr>
        <w:t>na osnovu odgovora iz ankete privrednika. Znatno bolje vrednosti odgovora su zabeležene kod pitanja koj</w:t>
      </w:r>
      <w:r>
        <w:rPr>
          <w:rFonts w:ascii="Times New Roman" w:eastAsia="Calibri" w:hAnsi="Times New Roman"/>
          <w:lang w:val="sr-Latn-RS"/>
        </w:rPr>
        <w:t>e prate način zapošljavanja i ot</w:t>
      </w:r>
      <w:r w:rsidRPr="009D0BAB">
        <w:rPr>
          <w:rFonts w:ascii="Times New Roman" w:eastAsia="Calibri" w:hAnsi="Times New Roman"/>
          <w:lang w:val="sr-Latn-RS"/>
        </w:rPr>
        <w:t>puštanja radnika, aktivne politike zapošljavanja i oslanjanja na profesionalni menadžment u poslovanju preduzeća. Istovremeno su dobijeni lošiji odgovori na pitanja o internoj mobilnosti radnika, vezi između zarade i produktivnosti, prava radnika i fleksibilnosti određivanja zarade usled čega nije ostvaren značajniji rast vrednosti indeksa celokupnog stuba.</w:t>
      </w:r>
    </w:p>
    <w:p w14:paraId="2AD0AD2C" w14:textId="77777777"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Porast od 0,5 poena ostvaren je na nivou stuba Sposobnost za inoviranjem kao posledica napretka u broju naučnih publikacija, izdacima za istraživanje i razvoj u % od BDP-a, kvalitetu naučnih institucija, prijavama </w:t>
      </w:r>
      <w:r>
        <w:rPr>
          <w:rFonts w:ascii="Times New Roman" w:eastAsia="Calibri" w:hAnsi="Times New Roman"/>
          <w:lang w:val="sr-Latn-RS"/>
        </w:rPr>
        <w:t>novih r</w:t>
      </w:r>
      <w:r w:rsidRPr="009D0BAB">
        <w:rPr>
          <w:rFonts w:ascii="Times New Roman" w:eastAsia="Calibri" w:hAnsi="Times New Roman"/>
          <w:lang w:val="sr-Latn-RS"/>
        </w:rPr>
        <w:t xml:space="preserve">obnih marki, kao i boljim odgovorima na pitanja o diversifikovanosti radne snage, saradnji između ključnih predstavnika i sofisticiranosti kupaca. Napredak na nivou stuba je delimično neutralisan usled lošijih odgovora koji su ispitani preduzetnici dali na pitanje od razvijenosti klastera u privredi kao i usled smanjenja broja prijava za patente i međunarodne kopronalaske.         </w:t>
      </w:r>
    </w:p>
    <w:p w14:paraId="1D0F6C26" w14:textId="77777777" w:rsidR="0037061C"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Stub Makroekonomsko okruženje je imao neutralan uticaj na ukupnu vrednost indeksa pošto je ponovljena vrednost iz prošle godine od 75 poena. Kao što je u prošlogodišnjem izveštaju istaknuto, ovaj stub je pretrpeo značajne promene u smislu načina praćenja što je dovelo do toga da će se vrednost indeksa za ovaj stub mnogo sporije menjati ali će u slučaju promena one biti znatno izraženije u intervalima od po 5 poena. </w:t>
      </w:r>
    </w:p>
    <w:p w14:paraId="6197BB30" w14:textId="77777777" w:rsidR="00EE5C03" w:rsidRPr="009D0BAB" w:rsidRDefault="00EE5C03" w:rsidP="008E0F0C">
      <w:pPr>
        <w:jc w:val="both"/>
        <w:rPr>
          <w:rFonts w:ascii="Times New Roman" w:eastAsia="Calibri" w:hAnsi="Times New Roman"/>
          <w:sz w:val="16"/>
          <w:lang w:val="sr-Latn-RS"/>
        </w:rPr>
      </w:pPr>
    </w:p>
    <w:p w14:paraId="14F51D6C" w14:textId="5A7FD6A9" w:rsidR="00E5451B" w:rsidRPr="009D0BAB" w:rsidRDefault="008E0F0C" w:rsidP="00E5451B">
      <w:pPr>
        <w:jc w:val="both"/>
        <w:rPr>
          <w:rFonts w:ascii="Times New Roman" w:eastAsia="Calibri" w:hAnsi="Times New Roman"/>
          <w:lang w:val="sr-Latn-RS"/>
        </w:rPr>
      </w:pPr>
      <w:r w:rsidRPr="009D0BAB">
        <w:rPr>
          <w:rFonts w:ascii="Times New Roman" w:eastAsia="Calibri" w:hAnsi="Times New Roman"/>
          <w:b/>
          <w:lang w:val="sr-Latn-RS"/>
        </w:rPr>
        <w:t>Tabela 4.</w:t>
      </w:r>
      <w:r w:rsidRPr="009D0BAB">
        <w:rPr>
          <w:rFonts w:ascii="Times New Roman" w:eastAsia="Calibri" w:hAnsi="Times New Roman"/>
          <w:lang w:val="sr-Latn-RS"/>
        </w:rPr>
        <w:t xml:space="preserve"> Rangovi pojedinačnih stubova konkurentnosti (2017-201</w:t>
      </w:r>
      <w:r w:rsidR="00A40195" w:rsidRPr="009D0BAB">
        <w:rPr>
          <w:rFonts w:ascii="Times New Roman" w:eastAsia="Calibri" w:hAnsi="Times New Roman"/>
          <w:lang w:val="sr-Latn-RS"/>
        </w:rPr>
        <w:t>9</w:t>
      </w:r>
      <w:r w:rsidRPr="009D0BAB">
        <w:rPr>
          <w:rFonts w:ascii="Times New Roman" w:eastAsia="Calibri" w:hAnsi="Times New Roman"/>
          <w:lang w:val="sr-Latn-RS"/>
        </w:rPr>
        <w:t>.)</w:t>
      </w:r>
    </w:p>
    <w:tbl>
      <w:tblPr>
        <w:tblW w:w="9131" w:type="dxa"/>
        <w:jc w:val="center"/>
        <w:tblCellMar>
          <w:left w:w="0" w:type="dxa"/>
          <w:right w:w="0" w:type="dxa"/>
        </w:tblCellMar>
        <w:tblLook w:val="04A0" w:firstRow="1" w:lastRow="0" w:firstColumn="1" w:lastColumn="0" w:noHBand="0" w:noVBand="1"/>
      </w:tblPr>
      <w:tblGrid>
        <w:gridCol w:w="3284"/>
        <w:gridCol w:w="1020"/>
        <w:gridCol w:w="1081"/>
        <w:gridCol w:w="1268"/>
        <w:gridCol w:w="1358"/>
        <w:gridCol w:w="1120"/>
      </w:tblGrid>
      <w:tr w:rsidR="00A40195" w:rsidRPr="009D0BAB" w14:paraId="5B00319E" w14:textId="77777777" w:rsidTr="00A40195">
        <w:trPr>
          <w:trHeight w:val="248"/>
          <w:jc w:val="center"/>
        </w:trPr>
        <w:tc>
          <w:tcPr>
            <w:tcW w:w="3284"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1A766AD0" w14:textId="77777777" w:rsidR="00A40195" w:rsidRPr="009D0BAB" w:rsidRDefault="00A40195" w:rsidP="008E0F0C">
            <w:pPr>
              <w:jc w:val="center"/>
              <w:rPr>
                <w:rFonts w:ascii="Times New Roman" w:hAnsi="Times New Roman"/>
                <w:sz w:val="20"/>
                <w:szCs w:val="20"/>
                <w:lang w:val="sr-Latn-RS" w:eastAsia="en-GB"/>
              </w:rPr>
            </w:pPr>
          </w:p>
        </w:tc>
        <w:tc>
          <w:tcPr>
            <w:tcW w:w="1020"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4BEC7857" w14:textId="77777777"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2017</w:t>
            </w:r>
          </w:p>
        </w:tc>
        <w:tc>
          <w:tcPr>
            <w:tcW w:w="1081"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49D18616" w14:textId="77777777"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2018</w:t>
            </w:r>
          </w:p>
        </w:tc>
        <w:tc>
          <w:tcPr>
            <w:tcW w:w="1268" w:type="dxa"/>
            <w:tcBorders>
              <w:top w:val="single" w:sz="8" w:space="0" w:color="FFFFFF"/>
              <w:left w:val="single" w:sz="8" w:space="0" w:color="FFFFFF"/>
              <w:bottom w:val="single" w:sz="8" w:space="0" w:color="EFA0AC"/>
              <w:right w:val="single" w:sz="8" w:space="0" w:color="FFFFFF"/>
            </w:tcBorders>
            <w:shd w:val="clear" w:color="auto" w:fill="D7D7D7"/>
          </w:tcPr>
          <w:p w14:paraId="78CC40C7" w14:textId="014CE319" w:rsidR="00A40195" w:rsidRPr="009D0BAB" w:rsidRDefault="00A40195" w:rsidP="008E0F0C">
            <w:pPr>
              <w:jc w:val="center"/>
              <w:rPr>
                <w:rFonts w:ascii="Times New Roman" w:eastAsia="Roboto Slab" w:hAnsi="Times New Roman"/>
                <w:b/>
                <w:bCs/>
                <w:color w:val="000000" w:themeColor="text1"/>
                <w:kern w:val="24"/>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2019</w:t>
            </w:r>
          </w:p>
        </w:tc>
        <w:tc>
          <w:tcPr>
            <w:tcW w:w="1358"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0611C3BA" w14:textId="55D573E7"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Broj mesta</w:t>
            </w:r>
          </w:p>
        </w:tc>
        <w:tc>
          <w:tcPr>
            <w:tcW w:w="1120" w:type="dxa"/>
            <w:tcBorders>
              <w:top w:val="single" w:sz="8" w:space="0" w:color="FFFFFF"/>
              <w:left w:val="single" w:sz="8" w:space="0" w:color="FFFFFF"/>
              <w:bottom w:val="single" w:sz="8" w:space="0" w:color="EFA0AC"/>
              <w:right w:val="single" w:sz="8" w:space="0" w:color="FFFFFF"/>
            </w:tcBorders>
            <w:shd w:val="clear" w:color="auto" w:fill="D7D7D7"/>
            <w:tcMar>
              <w:top w:w="15" w:type="dxa"/>
              <w:left w:w="108" w:type="dxa"/>
              <w:bottom w:w="0" w:type="dxa"/>
              <w:right w:w="108" w:type="dxa"/>
            </w:tcMar>
            <w:vAlign w:val="center"/>
            <w:hideMark/>
          </w:tcPr>
          <w:p w14:paraId="728E5FDA" w14:textId="77777777"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Promena</w:t>
            </w:r>
          </w:p>
        </w:tc>
      </w:tr>
      <w:tr w:rsidR="00A40195" w:rsidRPr="009D0BAB" w14:paraId="54D13CA9" w14:textId="77777777" w:rsidTr="00A40195">
        <w:trPr>
          <w:trHeight w:val="248"/>
          <w:jc w:val="center"/>
        </w:trPr>
        <w:tc>
          <w:tcPr>
            <w:tcW w:w="328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317C6B51"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1. Institucije</w:t>
            </w:r>
          </w:p>
        </w:tc>
        <w:tc>
          <w:tcPr>
            <w:tcW w:w="10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0D2DD201"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65</w:t>
            </w:r>
          </w:p>
        </w:tc>
        <w:tc>
          <w:tcPr>
            <w:tcW w:w="1081"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31DE2018"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76</w:t>
            </w:r>
          </w:p>
        </w:tc>
        <w:tc>
          <w:tcPr>
            <w:tcW w:w="1268" w:type="dxa"/>
            <w:tcBorders>
              <w:top w:val="single" w:sz="8" w:space="0" w:color="EFA0AC"/>
              <w:left w:val="single" w:sz="8" w:space="0" w:color="FFFFFF"/>
              <w:bottom w:val="single" w:sz="8" w:space="0" w:color="EFA0AC"/>
              <w:right w:val="single" w:sz="8" w:space="0" w:color="FFFFFF"/>
            </w:tcBorders>
            <w:shd w:val="clear" w:color="auto" w:fill="FBECEE"/>
          </w:tcPr>
          <w:p w14:paraId="36B23851" w14:textId="0CB2A0D3"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75</w:t>
            </w:r>
          </w:p>
        </w:tc>
        <w:tc>
          <w:tcPr>
            <w:tcW w:w="1358"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3182073F" w14:textId="36FA8FE1"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+1</w:t>
            </w:r>
          </w:p>
        </w:tc>
        <w:tc>
          <w:tcPr>
            <w:tcW w:w="11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645CBD26" w14:textId="0733C870"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b/>
                <w:bCs/>
                <w:color w:val="000000"/>
                <w:kern w:val="24"/>
                <w:sz w:val="20"/>
                <w:szCs w:val="20"/>
                <w:highlight w:val="green"/>
                <w:lang w:val="sr-Latn-RS" w:eastAsia="en-GB"/>
              </w:rPr>
              <w:t>↗</w:t>
            </w:r>
          </w:p>
        </w:tc>
      </w:tr>
      <w:tr w:rsidR="00A40195" w:rsidRPr="009D0BAB" w14:paraId="24B5D6A6" w14:textId="77777777" w:rsidTr="00A40195">
        <w:trPr>
          <w:trHeight w:val="248"/>
          <w:jc w:val="center"/>
        </w:trPr>
        <w:tc>
          <w:tcPr>
            <w:tcW w:w="328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7A1101C6"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2. Infrastruktura</w:t>
            </w:r>
          </w:p>
        </w:tc>
        <w:tc>
          <w:tcPr>
            <w:tcW w:w="10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797DF5B9"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50</w:t>
            </w:r>
          </w:p>
        </w:tc>
        <w:tc>
          <w:tcPr>
            <w:tcW w:w="1081"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7048B084"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48</w:t>
            </w:r>
          </w:p>
        </w:tc>
        <w:tc>
          <w:tcPr>
            <w:tcW w:w="1268" w:type="dxa"/>
            <w:tcBorders>
              <w:top w:val="single" w:sz="8" w:space="0" w:color="EFA0AC"/>
              <w:left w:val="single" w:sz="8" w:space="0" w:color="FFFFFF"/>
              <w:bottom w:val="single" w:sz="8" w:space="0" w:color="EFA0AC"/>
              <w:right w:val="single" w:sz="8" w:space="0" w:color="FFFFFF"/>
            </w:tcBorders>
            <w:shd w:val="clear" w:color="auto" w:fill="FBECEE"/>
          </w:tcPr>
          <w:p w14:paraId="76D0B9EE" w14:textId="465B31CC"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51</w:t>
            </w:r>
          </w:p>
        </w:tc>
        <w:tc>
          <w:tcPr>
            <w:tcW w:w="1358"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2FA8B0F7" w14:textId="05F255AE"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-3</w:t>
            </w:r>
          </w:p>
        </w:tc>
        <w:tc>
          <w:tcPr>
            <w:tcW w:w="11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7599B4B1" w14:textId="5F94B950"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r w:rsidR="00A40195" w:rsidRPr="009D0BAB" w14:paraId="6014BBDF" w14:textId="77777777" w:rsidTr="00A40195">
        <w:trPr>
          <w:trHeight w:val="248"/>
          <w:jc w:val="center"/>
        </w:trPr>
        <w:tc>
          <w:tcPr>
            <w:tcW w:w="3284"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6EF86AF4"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3. Usvajanje IKT-a</w:t>
            </w:r>
          </w:p>
        </w:tc>
        <w:tc>
          <w:tcPr>
            <w:tcW w:w="10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4B2C0BE0"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57</w:t>
            </w:r>
          </w:p>
        </w:tc>
        <w:tc>
          <w:tcPr>
            <w:tcW w:w="1081" w:type="dxa"/>
            <w:tcBorders>
              <w:top w:val="single" w:sz="8" w:space="0" w:color="EFA0AC"/>
              <w:left w:val="single" w:sz="8" w:space="0" w:color="FFFFFF"/>
              <w:bottom w:val="single" w:sz="8" w:space="0" w:color="EFA0AC"/>
              <w:right w:val="single" w:sz="8" w:space="0" w:color="FFFFFF"/>
            </w:tcBorders>
            <w:shd w:val="clear" w:color="auto" w:fill="FBECEE"/>
            <w:tcMar>
              <w:top w:w="15" w:type="dxa"/>
              <w:left w:w="15" w:type="dxa"/>
              <w:bottom w:w="0" w:type="dxa"/>
              <w:right w:w="15" w:type="dxa"/>
            </w:tcMar>
            <w:vAlign w:val="center"/>
            <w:hideMark/>
          </w:tcPr>
          <w:p w14:paraId="73D06651"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60</w:t>
            </w:r>
          </w:p>
        </w:tc>
        <w:tc>
          <w:tcPr>
            <w:tcW w:w="1268" w:type="dxa"/>
            <w:tcBorders>
              <w:top w:val="single" w:sz="8" w:space="0" w:color="EFA0AC"/>
              <w:left w:val="single" w:sz="8" w:space="0" w:color="FFFFFF"/>
              <w:bottom w:val="single" w:sz="8" w:space="0" w:color="EFA0AC"/>
              <w:right w:val="single" w:sz="8" w:space="0" w:color="FFFFFF"/>
            </w:tcBorders>
            <w:shd w:val="clear" w:color="auto" w:fill="FBECEE"/>
          </w:tcPr>
          <w:p w14:paraId="1F60C4AE" w14:textId="0E1237C2"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77</w:t>
            </w:r>
          </w:p>
        </w:tc>
        <w:tc>
          <w:tcPr>
            <w:tcW w:w="1358"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1CF21861" w14:textId="25E3826F"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-17</w:t>
            </w:r>
          </w:p>
        </w:tc>
        <w:tc>
          <w:tcPr>
            <w:tcW w:w="1120" w:type="dxa"/>
            <w:tcBorders>
              <w:top w:val="single" w:sz="8" w:space="0" w:color="EFA0AC"/>
              <w:left w:val="single" w:sz="8" w:space="0" w:color="FFFFFF"/>
              <w:bottom w:val="single" w:sz="8" w:space="0" w:color="EFA0AC"/>
              <w:right w:val="single" w:sz="8" w:space="0" w:color="FFFFFF"/>
            </w:tcBorders>
            <w:shd w:val="clear" w:color="auto" w:fill="FBECEE"/>
            <w:tcMar>
              <w:top w:w="15" w:type="dxa"/>
              <w:left w:w="108" w:type="dxa"/>
              <w:bottom w:w="0" w:type="dxa"/>
              <w:right w:w="108" w:type="dxa"/>
            </w:tcMar>
            <w:vAlign w:val="center"/>
            <w:hideMark/>
          </w:tcPr>
          <w:p w14:paraId="0E9E0AE5" w14:textId="77777777" w:rsidR="00A40195" w:rsidRPr="009D0BAB" w:rsidRDefault="00A40195" w:rsidP="008E0F0C">
            <w:pPr>
              <w:jc w:val="center"/>
              <w:rPr>
                <w:rFonts w:ascii="Times New Roman" w:hAnsi="Times New Roman"/>
                <w:sz w:val="20"/>
                <w:szCs w:val="20"/>
                <w:lang w:val="sr-Latn-RS" w:eastAsia="en-GB"/>
              </w:rPr>
            </w:pPr>
            <w:r w:rsidRPr="009D0BAB">
              <w:rPr>
                <w:rFonts w:ascii="Cambria Math" w:eastAsia="Roboto Slab" w:hAnsi="Cambria Math" w:cs="Cambria Math"/>
                <w:b/>
                <w:bCs/>
                <w:color w:val="000000" w:themeColor="dark1"/>
                <w:kern w:val="24"/>
                <w:sz w:val="20"/>
                <w:szCs w:val="20"/>
                <w:highlight w:val="red"/>
                <w:lang w:val="sr-Latn-RS" w:eastAsia="en-GB"/>
              </w:rPr>
              <w:t>↘</w:t>
            </w:r>
          </w:p>
        </w:tc>
      </w:tr>
      <w:tr w:rsidR="00A40195" w:rsidRPr="009D0BAB" w14:paraId="4009AAA8" w14:textId="77777777" w:rsidTr="00A40195">
        <w:trPr>
          <w:trHeight w:val="248"/>
          <w:jc w:val="center"/>
        </w:trPr>
        <w:tc>
          <w:tcPr>
            <w:tcW w:w="3284"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16783B32"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4. Makroekonomska stabilnost</w:t>
            </w:r>
          </w:p>
        </w:tc>
        <w:tc>
          <w:tcPr>
            <w:tcW w:w="1020" w:type="dxa"/>
            <w:tcBorders>
              <w:top w:val="single" w:sz="8" w:space="0" w:color="EFA0AC"/>
              <w:left w:val="single" w:sz="8" w:space="0" w:color="FFFFFF"/>
              <w:bottom w:val="single" w:sz="8" w:space="0" w:color="F5B88F"/>
              <w:right w:val="single" w:sz="8" w:space="0" w:color="FFFFFF"/>
            </w:tcBorders>
            <w:shd w:val="clear" w:color="auto" w:fill="FBECEE"/>
            <w:tcMar>
              <w:top w:w="15" w:type="dxa"/>
              <w:left w:w="15" w:type="dxa"/>
              <w:bottom w:w="0" w:type="dxa"/>
              <w:right w:w="15" w:type="dxa"/>
            </w:tcMar>
            <w:vAlign w:val="center"/>
            <w:hideMark/>
          </w:tcPr>
          <w:p w14:paraId="1D83B732"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95</w:t>
            </w:r>
          </w:p>
        </w:tc>
        <w:tc>
          <w:tcPr>
            <w:tcW w:w="1081" w:type="dxa"/>
            <w:tcBorders>
              <w:top w:val="single" w:sz="8" w:space="0" w:color="EFA0AC"/>
              <w:left w:val="single" w:sz="8" w:space="0" w:color="FFFFFF"/>
              <w:bottom w:val="single" w:sz="8" w:space="0" w:color="F5B88F"/>
              <w:right w:val="single" w:sz="8" w:space="0" w:color="FFFFFF"/>
            </w:tcBorders>
            <w:shd w:val="clear" w:color="auto" w:fill="FBECEE"/>
            <w:tcMar>
              <w:top w:w="15" w:type="dxa"/>
              <w:left w:w="15" w:type="dxa"/>
              <w:bottom w:w="0" w:type="dxa"/>
              <w:right w:w="15" w:type="dxa"/>
            </w:tcMar>
            <w:vAlign w:val="center"/>
            <w:hideMark/>
          </w:tcPr>
          <w:p w14:paraId="6117BE52"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64</w:t>
            </w:r>
          </w:p>
        </w:tc>
        <w:tc>
          <w:tcPr>
            <w:tcW w:w="1268" w:type="dxa"/>
            <w:tcBorders>
              <w:top w:val="single" w:sz="8" w:space="0" w:color="EFA0AC"/>
              <w:left w:val="single" w:sz="8" w:space="0" w:color="FFFFFF"/>
              <w:bottom w:val="single" w:sz="8" w:space="0" w:color="F5B88F"/>
              <w:right w:val="single" w:sz="8" w:space="0" w:color="FFFFFF"/>
            </w:tcBorders>
            <w:shd w:val="clear" w:color="auto" w:fill="FBECEE"/>
          </w:tcPr>
          <w:p w14:paraId="0957A33A" w14:textId="37CB7C8D"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64</w:t>
            </w:r>
          </w:p>
        </w:tc>
        <w:tc>
          <w:tcPr>
            <w:tcW w:w="1358"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66ED42BA" w14:textId="5181EF1F" w:rsidR="00A40195" w:rsidRPr="009D0BAB" w:rsidRDefault="00A40195" w:rsidP="008E0F0C">
            <w:pPr>
              <w:jc w:val="center"/>
              <w:rPr>
                <w:rFonts w:ascii="Times New Roman" w:hAnsi="Times New Roman"/>
                <w:sz w:val="20"/>
                <w:szCs w:val="20"/>
                <w:lang w:val="sr-Latn-RS" w:eastAsia="en-GB"/>
              </w:rPr>
            </w:pPr>
            <w:r w:rsidRPr="009D0BAB">
              <w:rPr>
                <w:rFonts w:ascii="Times New Roman" w:hAnsi="Times New Roman"/>
                <w:sz w:val="20"/>
                <w:szCs w:val="20"/>
                <w:lang w:val="sr-Latn-RS" w:eastAsia="en-GB"/>
              </w:rPr>
              <w:t>=</w:t>
            </w:r>
          </w:p>
        </w:tc>
        <w:tc>
          <w:tcPr>
            <w:tcW w:w="1120" w:type="dxa"/>
            <w:tcBorders>
              <w:top w:val="single" w:sz="8" w:space="0" w:color="EFA0AC"/>
              <w:left w:val="single" w:sz="8" w:space="0" w:color="FFFFFF"/>
              <w:bottom w:val="single" w:sz="8" w:space="0" w:color="F5B88F"/>
              <w:right w:val="single" w:sz="8" w:space="0" w:color="FFFFFF"/>
            </w:tcBorders>
            <w:shd w:val="clear" w:color="auto" w:fill="FBECEE"/>
            <w:tcMar>
              <w:top w:w="15" w:type="dxa"/>
              <w:left w:w="108" w:type="dxa"/>
              <w:bottom w:w="0" w:type="dxa"/>
              <w:right w:w="108" w:type="dxa"/>
            </w:tcMar>
            <w:vAlign w:val="center"/>
            <w:hideMark/>
          </w:tcPr>
          <w:p w14:paraId="3725CBD6" w14:textId="46823432" w:rsidR="00A40195" w:rsidRPr="009D0BAB" w:rsidRDefault="00AC6ED0"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w:t>
            </w:r>
          </w:p>
        </w:tc>
      </w:tr>
      <w:tr w:rsidR="00A40195" w:rsidRPr="009D0BAB" w14:paraId="1DDB80F4" w14:textId="77777777" w:rsidTr="00A40195">
        <w:trPr>
          <w:trHeight w:val="248"/>
          <w:jc w:val="center"/>
        </w:trPr>
        <w:tc>
          <w:tcPr>
            <w:tcW w:w="3284"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4DE4C7AC"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5. Zdravstvo</w:t>
            </w:r>
          </w:p>
        </w:tc>
        <w:tc>
          <w:tcPr>
            <w:tcW w:w="1020" w:type="dxa"/>
            <w:tcBorders>
              <w:top w:val="single" w:sz="8" w:space="0" w:color="F5B88F"/>
              <w:left w:val="single" w:sz="8" w:space="0" w:color="FFFFFF"/>
              <w:bottom w:val="single" w:sz="8" w:space="0" w:color="F5B88F"/>
              <w:right w:val="single" w:sz="8" w:space="0" w:color="FFFFFF"/>
            </w:tcBorders>
            <w:shd w:val="clear" w:color="auto" w:fill="FCF1E8"/>
            <w:tcMar>
              <w:top w:w="15" w:type="dxa"/>
              <w:left w:w="15" w:type="dxa"/>
              <w:bottom w:w="0" w:type="dxa"/>
              <w:right w:w="15" w:type="dxa"/>
            </w:tcMar>
            <w:vAlign w:val="center"/>
            <w:hideMark/>
          </w:tcPr>
          <w:p w14:paraId="5CCCE6C0"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67</w:t>
            </w:r>
          </w:p>
        </w:tc>
        <w:tc>
          <w:tcPr>
            <w:tcW w:w="1081" w:type="dxa"/>
            <w:tcBorders>
              <w:top w:val="single" w:sz="8" w:space="0" w:color="F5B88F"/>
              <w:left w:val="single" w:sz="8" w:space="0" w:color="FFFFFF"/>
              <w:bottom w:val="single" w:sz="8" w:space="0" w:color="F5B88F"/>
              <w:right w:val="single" w:sz="8" w:space="0" w:color="FFFFFF"/>
            </w:tcBorders>
            <w:shd w:val="clear" w:color="auto" w:fill="FCF1E8"/>
            <w:tcMar>
              <w:top w:w="15" w:type="dxa"/>
              <w:left w:w="15" w:type="dxa"/>
              <w:bottom w:w="0" w:type="dxa"/>
              <w:right w:w="15" w:type="dxa"/>
            </w:tcMar>
            <w:vAlign w:val="center"/>
            <w:hideMark/>
          </w:tcPr>
          <w:p w14:paraId="3BBD48B7"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67</w:t>
            </w:r>
          </w:p>
        </w:tc>
        <w:tc>
          <w:tcPr>
            <w:tcW w:w="1268" w:type="dxa"/>
            <w:tcBorders>
              <w:top w:val="single" w:sz="8" w:space="0" w:color="F5B88F"/>
              <w:left w:val="single" w:sz="8" w:space="0" w:color="FFFFFF"/>
              <w:bottom w:val="single" w:sz="8" w:space="0" w:color="F5B88F"/>
              <w:right w:val="single" w:sz="8" w:space="0" w:color="FFFFFF"/>
            </w:tcBorders>
            <w:shd w:val="clear" w:color="auto" w:fill="FCF1E8"/>
          </w:tcPr>
          <w:p w14:paraId="42F991A5" w14:textId="0CD1DB51"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76</w:t>
            </w:r>
          </w:p>
        </w:tc>
        <w:tc>
          <w:tcPr>
            <w:tcW w:w="1358"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679B5CB6" w14:textId="03F65B99" w:rsidR="00A40195" w:rsidRPr="009D0BAB" w:rsidRDefault="00A40195" w:rsidP="00492776">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w:t>
            </w:r>
            <w:r w:rsidR="00492776" w:rsidRPr="009D0BAB">
              <w:rPr>
                <w:rFonts w:ascii="Times New Roman" w:eastAsia="Roboto Slab" w:hAnsi="Times New Roman"/>
                <w:b/>
                <w:bCs/>
                <w:color w:val="000000" w:themeColor="dark1"/>
                <w:kern w:val="24"/>
                <w:sz w:val="20"/>
                <w:szCs w:val="20"/>
                <w:lang w:val="sr-Latn-RS" w:eastAsia="en-GB"/>
              </w:rPr>
              <w:t>9</w:t>
            </w:r>
          </w:p>
        </w:tc>
        <w:tc>
          <w:tcPr>
            <w:tcW w:w="1120" w:type="dxa"/>
            <w:tcBorders>
              <w:top w:val="single" w:sz="8" w:space="0" w:color="F5B88F"/>
              <w:left w:val="single" w:sz="8" w:space="0" w:color="FFFFFF"/>
              <w:bottom w:val="single" w:sz="8" w:space="0" w:color="F5B88F"/>
              <w:right w:val="single" w:sz="8" w:space="0" w:color="FFFFFF"/>
            </w:tcBorders>
            <w:shd w:val="clear" w:color="auto" w:fill="FCF1E8"/>
            <w:tcMar>
              <w:top w:w="15" w:type="dxa"/>
              <w:left w:w="108" w:type="dxa"/>
              <w:bottom w:w="0" w:type="dxa"/>
              <w:right w:w="108" w:type="dxa"/>
            </w:tcMar>
            <w:vAlign w:val="center"/>
            <w:hideMark/>
          </w:tcPr>
          <w:p w14:paraId="4E408FDA" w14:textId="06867E3A"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r w:rsidR="00A40195" w:rsidRPr="009D0BAB" w14:paraId="271B6382" w14:textId="77777777" w:rsidTr="00A40195">
        <w:trPr>
          <w:trHeight w:val="248"/>
          <w:jc w:val="center"/>
        </w:trPr>
        <w:tc>
          <w:tcPr>
            <w:tcW w:w="3284"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08EED38E"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6. Veštine</w:t>
            </w:r>
          </w:p>
        </w:tc>
        <w:tc>
          <w:tcPr>
            <w:tcW w:w="1020" w:type="dxa"/>
            <w:tcBorders>
              <w:top w:val="single" w:sz="8" w:space="0" w:color="F5B88F"/>
              <w:left w:val="single" w:sz="8" w:space="0" w:color="FFFFFF"/>
              <w:bottom w:val="single" w:sz="8" w:space="0" w:color="A8A9CE"/>
              <w:right w:val="single" w:sz="8" w:space="0" w:color="FFFFFF"/>
            </w:tcBorders>
            <w:shd w:val="clear" w:color="auto" w:fill="FCF1E8"/>
            <w:tcMar>
              <w:top w:w="15" w:type="dxa"/>
              <w:left w:w="15" w:type="dxa"/>
              <w:bottom w:w="0" w:type="dxa"/>
              <w:right w:w="15" w:type="dxa"/>
            </w:tcMar>
            <w:vAlign w:val="center"/>
            <w:hideMark/>
          </w:tcPr>
          <w:p w14:paraId="4D36A9EE"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58</w:t>
            </w:r>
          </w:p>
        </w:tc>
        <w:tc>
          <w:tcPr>
            <w:tcW w:w="1081" w:type="dxa"/>
            <w:tcBorders>
              <w:top w:val="single" w:sz="8" w:space="0" w:color="F5B88F"/>
              <w:left w:val="single" w:sz="8" w:space="0" w:color="FFFFFF"/>
              <w:bottom w:val="single" w:sz="8" w:space="0" w:color="A8A9CE"/>
              <w:right w:val="single" w:sz="8" w:space="0" w:color="FFFFFF"/>
            </w:tcBorders>
            <w:shd w:val="clear" w:color="auto" w:fill="FCF1E8"/>
            <w:tcMar>
              <w:top w:w="15" w:type="dxa"/>
              <w:left w:w="15" w:type="dxa"/>
              <w:bottom w:w="0" w:type="dxa"/>
              <w:right w:w="15" w:type="dxa"/>
            </w:tcMar>
            <w:vAlign w:val="center"/>
            <w:hideMark/>
          </w:tcPr>
          <w:p w14:paraId="4521E3E8"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56</w:t>
            </w:r>
          </w:p>
        </w:tc>
        <w:tc>
          <w:tcPr>
            <w:tcW w:w="1268" w:type="dxa"/>
            <w:tcBorders>
              <w:top w:val="single" w:sz="8" w:space="0" w:color="F5B88F"/>
              <w:left w:val="single" w:sz="8" w:space="0" w:color="FFFFFF"/>
              <w:bottom w:val="single" w:sz="8" w:space="0" w:color="A8A9CE"/>
              <w:right w:val="single" w:sz="8" w:space="0" w:color="FFFFFF"/>
            </w:tcBorders>
            <w:shd w:val="clear" w:color="auto" w:fill="FCF1E8"/>
          </w:tcPr>
          <w:p w14:paraId="12B129AB" w14:textId="0AF3B7FC"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55</w:t>
            </w:r>
          </w:p>
        </w:tc>
        <w:tc>
          <w:tcPr>
            <w:tcW w:w="1358"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403109F5" w14:textId="6C823486"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+1</w:t>
            </w:r>
          </w:p>
        </w:tc>
        <w:tc>
          <w:tcPr>
            <w:tcW w:w="1120" w:type="dxa"/>
            <w:tcBorders>
              <w:top w:val="single" w:sz="8" w:space="0" w:color="F5B88F"/>
              <w:left w:val="single" w:sz="8" w:space="0" w:color="FFFFFF"/>
              <w:bottom w:val="single" w:sz="8" w:space="0" w:color="A8A9CE"/>
              <w:right w:val="single" w:sz="8" w:space="0" w:color="FFFFFF"/>
            </w:tcBorders>
            <w:shd w:val="clear" w:color="auto" w:fill="FCF1E8"/>
            <w:tcMar>
              <w:top w:w="15" w:type="dxa"/>
              <w:left w:w="108" w:type="dxa"/>
              <w:bottom w:w="0" w:type="dxa"/>
              <w:right w:w="108" w:type="dxa"/>
            </w:tcMar>
            <w:vAlign w:val="center"/>
            <w:hideMark/>
          </w:tcPr>
          <w:p w14:paraId="3457CB34" w14:textId="77777777" w:rsidR="00A40195" w:rsidRPr="009D0BAB" w:rsidRDefault="00A40195" w:rsidP="008E0F0C">
            <w:pPr>
              <w:jc w:val="center"/>
              <w:rPr>
                <w:rFonts w:ascii="Times New Roman" w:hAnsi="Times New Roman"/>
                <w:sz w:val="20"/>
                <w:szCs w:val="20"/>
                <w:lang w:val="sr-Latn-RS" w:eastAsia="en-GB"/>
              </w:rPr>
            </w:pPr>
            <w:r w:rsidRPr="009D0BAB">
              <w:rPr>
                <w:rFonts w:ascii="Cambria Math" w:eastAsia="Roboto Slab" w:hAnsi="Cambria Math" w:cs="Cambria Math"/>
                <w:b/>
                <w:bCs/>
                <w:color w:val="000000"/>
                <w:kern w:val="24"/>
                <w:sz w:val="20"/>
                <w:szCs w:val="20"/>
                <w:highlight w:val="green"/>
                <w:lang w:val="sr-Latn-RS" w:eastAsia="en-GB"/>
              </w:rPr>
              <w:t>↗</w:t>
            </w:r>
          </w:p>
        </w:tc>
      </w:tr>
      <w:tr w:rsidR="00A40195" w:rsidRPr="009D0BAB" w14:paraId="2170750C" w14:textId="77777777" w:rsidTr="00A40195">
        <w:trPr>
          <w:trHeight w:val="248"/>
          <w:jc w:val="center"/>
        </w:trPr>
        <w:tc>
          <w:tcPr>
            <w:tcW w:w="328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60C52EFE"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7. Tržište dobara</w:t>
            </w:r>
          </w:p>
        </w:tc>
        <w:tc>
          <w:tcPr>
            <w:tcW w:w="10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07A8AC08"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78</w:t>
            </w:r>
          </w:p>
        </w:tc>
        <w:tc>
          <w:tcPr>
            <w:tcW w:w="1081"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6CDC55A4"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66</w:t>
            </w:r>
          </w:p>
        </w:tc>
        <w:tc>
          <w:tcPr>
            <w:tcW w:w="1268" w:type="dxa"/>
            <w:tcBorders>
              <w:top w:val="single" w:sz="8" w:space="0" w:color="A8A9CE"/>
              <w:left w:val="single" w:sz="8" w:space="0" w:color="FFFFFF"/>
              <w:bottom w:val="single" w:sz="8" w:space="0" w:color="A8A9CE"/>
              <w:right w:val="single" w:sz="8" w:space="0" w:color="FFFFFF"/>
            </w:tcBorders>
            <w:shd w:val="clear" w:color="auto" w:fill="F4F4F9"/>
          </w:tcPr>
          <w:p w14:paraId="384A110C" w14:textId="0BFE10C9"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73</w:t>
            </w:r>
          </w:p>
        </w:tc>
        <w:tc>
          <w:tcPr>
            <w:tcW w:w="1358"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5BCE7142" w14:textId="350081E2" w:rsidR="00A40195" w:rsidRPr="009D0BAB" w:rsidRDefault="00A40195" w:rsidP="008E0F0C">
            <w:pPr>
              <w:jc w:val="center"/>
              <w:rPr>
                <w:rFonts w:ascii="Times New Roman" w:hAnsi="Times New Roman"/>
                <w:b/>
                <w:bCs/>
                <w:sz w:val="20"/>
                <w:szCs w:val="20"/>
                <w:lang w:val="sr-Latn-RS" w:eastAsia="en-GB"/>
              </w:rPr>
            </w:pPr>
            <w:r w:rsidRPr="009D0BAB">
              <w:rPr>
                <w:rFonts w:ascii="Times New Roman" w:hAnsi="Times New Roman"/>
                <w:b/>
                <w:bCs/>
                <w:sz w:val="20"/>
                <w:szCs w:val="20"/>
                <w:lang w:val="sr-Latn-RS" w:eastAsia="en-GB"/>
              </w:rPr>
              <w:t>-7</w:t>
            </w:r>
          </w:p>
        </w:tc>
        <w:tc>
          <w:tcPr>
            <w:tcW w:w="11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19DBD469" w14:textId="0A4A1AF3"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r w:rsidR="00A40195" w:rsidRPr="009D0BAB" w14:paraId="35E4C5B5" w14:textId="77777777" w:rsidTr="00A40195">
        <w:trPr>
          <w:trHeight w:val="248"/>
          <w:jc w:val="center"/>
        </w:trPr>
        <w:tc>
          <w:tcPr>
            <w:tcW w:w="328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724709F9"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8. Tržište rada</w:t>
            </w:r>
          </w:p>
        </w:tc>
        <w:tc>
          <w:tcPr>
            <w:tcW w:w="10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2A5693A3"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54</w:t>
            </w:r>
          </w:p>
        </w:tc>
        <w:tc>
          <w:tcPr>
            <w:tcW w:w="1081"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566AA98F"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52</w:t>
            </w:r>
          </w:p>
        </w:tc>
        <w:tc>
          <w:tcPr>
            <w:tcW w:w="1268" w:type="dxa"/>
            <w:tcBorders>
              <w:top w:val="single" w:sz="8" w:space="0" w:color="A8A9CE"/>
              <w:left w:val="single" w:sz="8" w:space="0" w:color="FFFFFF"/>
              <w:bottom w:val="single" w:sz="8" w:space="0" w:color="A8A9CE"/>
              <w:right w:val="single" w:sz="8" w:space="0" w:color="FFFFFF"/>
            </w:tcBorders>
            <w:shd w:val="clear" w:color="auto" w:fill="F4F4F9"/>
          </w:tcPr>
          <w:p w14:paraId="2AC7E853" w14:textId="400B007C"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54</w:t>
            </w:r>
          </w:p>
        </w:tc>
        <w:tc>
          <w:tcPr>
            <w:tcW w:w="1358"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54F7A884" w14:textId="47A39113"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-2</w:t>
            </w:r>
          </w:p>
        </w:tc>
        <w:tc>
          <w:tcPr>
            <w:tcW w:w="11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3C08BA6D" w14:textId="77701C9B"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r w:rsidR="00A40195" w:rsidRPr="009D0BAB" w14:paraId="7323B4FC" w14:textId="77777777" w:rsidTr="00A40195">
        <w:trPr>
          <w:trHeight w:val="248"/>
          <w:jc w:val="center"/>
        </w:trPr>
        <w:tc>
          <w:tcPr>
            <w:tcW w:w="3284"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24818FFD"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9. Finansijski sistem</w:t>
            </w:r>
          </w:p>
        </w:tc>
        <w:tc>
          <w:tcPr>
            <w:tcW w:w="10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197DB195"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97</w:t>
            </w:r>
          </w:p>
        </w:tc>
        <w:tc>
          <w:tcPr>
            <w:tcW w:w="1081" w:type="dxa"/>
            <w:tcBorders>
              <w:top w:val="single" w:sz="8" w:space="0" w:color="A8A9CE"/>
              <w:left w:val="single" w:sz="8" w:space="0" w:color="FFFFFF"/>
              <w:bottom w:val="single" w:sz="8" w:space="0" w:color="A8A9CE"/>
              <w:right w:val="single" w:sz="8" w:space="0" w:color="FFFFFF"/>
            </w:tcBorders>
            <w:shd w:val="clear" w:color="auto" w:fill="F4F4F9"/>
            <w:tcMar>
              <w:top w:w="15" w:type="dxa"/>
              <w:left w:w="15" w:type="dxa"/>
              <w:bottom w:w="0" w:type="dxa"/>
              <w:right w:w="15" w:type="dxa"/>
            </w:tcMar>
            <w:vAlign w:val="center"/>
            <w:hideMark/>
          </w:tcPr>
          <w:p w14:paraId="06125E59"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79</w:t>
            </w:r>
          </w:p>
        </w:tc>
        <w:tc>
          <w:tcPr>
            <w:tcW w:w="1268" w:type="dxa"/>
            <w:tcBorders>
              <w:top w:val="single" w:sz="8" w:space="0" w:color="A8A9CE"/>
              <w:left w:val="single" w:sz="8" w:space="0" w:color="FFFFFF"/>
              <w:bottom w:val="single" w:sz="8" w:space="0" w:color="A8A9CE"/>
              <w:right w:val="single" w:sz="8" w:space="0" w:color="FFFFFF"/>
            </w:tcBorders>
            <w:shd w:val="clear" w:color="auto" w:fill="F4F4F9"/>
          </w:tcPr>
          <w:p w14:paraId="75034228" w14:textId="04C7EC37"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82</w:t>
            </w:r>
          </w:p>
        </w:tc>
        <w:tc>
          <w:tcPr>
            <w:tcW w:w="1358"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09BA3F2C" w14:textId="2571792C" w:rsidR="00A40195" w:rsidRPr="009D0BAB" w:rsidRDefault="00A40195" w:rsidP="008E0F0C">
            <w:pPr>
              <w:jc w:val="center"/>
              <w:rPr>
                <w:rFonts w:ascii="Times New Roman" w:hAnsi="Times New Roman"/>
                <w:b/>
                <w:bCs/>
                <w:sz w:val="20"/>
                <w:szCs w:val="20"/>
                <w:lang w:val="sr-Latn-RS" w:eastAsia="en-GB"/>
              </w:rPr>
            </w:pPr>
            <w:r w:rsidRPr="009D0BAB">
              <w:rPr>
                <w:rFonts w:ascii="Times New Roman" w:hAnsi="Times New Roman"/>
                <w:b/>
                <w:bCs/>
                <w:sz w:val="20"/>
                <w:szCs w:val="20"/>
                <w:lang w:val="sr-Latn-RS" w:eastAsia="en-GB"/>
              </w:rPr>
              <w:t>-3</w:t>
            </w:r>
          </w:p>
        </w:tc>
        <w:tc>
          <w:tcPr>
            <w:tcW w:w="1120" w:type="dxa"/>
            <w:tcBorders>
              <w:top w:val="single" w:sz="8" w:space="0" w:color="A8A9CE"/>
              <w:left w:val="single" w:sz="8" w:space="0" w:color="FFFFFF"/>
              <w:bottom w:val="single" w:sz="8" w:space="0" w:color="A8A9CE"/>
              <w:right w:val="single" w:sz="8" w:space="0" w:color="FFFFFF"/>
            </w:tcBorders>
            <w:shd w:val="clear" w:color="auto" w:fill="F4F4F9"/>
            <w:tcMar>
              <w:top w:w="15" w:type="dxa"/>
              <w:left w:w="108" w:type="dxa"/>
              <w:bottom w:w="0" w:type="dxa"/>
              <w:right w:w="108" w:type="dxa"/>
            </w:tcMar>
            <w:vAlign w:val="center"/>
            <w:hideMark/>
          </w:tcPr>
          <w:p w14:paraId="49162F5C" w14:textId="48EAB213"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r w:rsidR="00A40195" w:rsidRPr="009D0BAB" w14:paraId="5D755988" w14:textId="77777777" w:rsidTr="00A40195">
        <w:trPr>
          <w:trHeight w:val="248"/>
          <w:jc w:val="center"/>
        </w:trPr>
        <w:tc>
          <w:tcPr>
            <w:tcW w:w="3284"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3BE31C36"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10. Veličina tržišta</w:t>
            </w:r>
          </w:p>
        </w:tc>
        <w:tc>
          <w:tcPr>
            <w:tcW w:w="1020" w:type="dxa"/>
            <w:tcBorders>
              <w:top w:val="single" w:sz="8" w:space="0" w:color="A8A9CE"/>
              <w:left w:val="single" w:sz="8" w:space="0" w:color="FFFFFF"/>
              <w:bottom w:val="single" w:sz="8" w:space="0" w:color="9CD2BF"/>
              <w:right w:val="single" w:sz="8" w:space="0" w:color="FFFFFF"/>
            </w:tcBorders>
            <w:shd w:val="clear" w:color="auto" w:fill="F4F4F9"/>
            <w:tcMar>
              <w:top w:w="15" w:type="dxa"/>
              <w:left w:w="15" w:type="dxa"/>
              <w:bottom w:w="0" w:type="dxa"/>
              <w:right w:w="15" w:type="dxa"/>
            </w:tcMar>
            <w:vAlign w:val="center"/>
            <w:hideMark/>
          </w:tcPr>
          <w:p w14:paraId="12BE166B"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74</w:t>
            </w:r>
          </w:p>
        </w:tc>
        <w:tc>
          <w:tcPr>
            <w:tcW w:w="1081" w:type="dxa"/>
            <w:tcBorders>
              <w:top w:val="single" w:sz="8" w:space="0" w:color="A8A9CE"/>
              <w:left w:val="single" w:sz="8" w:space="0" w:color="FFFFFF"/>
              <w:bottom w:val="single" w:sz="8" w:space="0" w:color="9CD2BF"/>
              <w:right w:val="single" w:sz="8" w:space="0" w:color="FFFFFF"/>
            </w:tcBorders>
            <w:shd w:val="clear" w:color="auto" w:fill="F4F4F9"/>
            <w:tcMar>
              <w:top w:w="15" w:type="dxa"/>
              <w:left w:w="15" w:type="dxa"/>
              <w:bottom w:w="0" w:type="dxa"/>
              <w:right w:w="15" w:type="dxa"/>
            </w:tcMar>
            <w:vAlign w:val="center"/>
            <w:hideMark/>
          </w:tcPr>
          <w:p w14:paraId="216EAF56"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75</w:t>
            </w:r>
          </w:p>
        </w:tc>
        <w:tc>
          <w:tcPr>
            <w:tcW w:w="1268" w:type="dxa"/>
            <w:tcBorders>
              <w:top w:val="single" w:sz="8" w:space="0" w:color="A8A9CE"/>
              <w:left w:val="single" w:sz="8" w:space="0" w:color="FFFFFF"/>
              <w:bottom w:val="single" w:sz="8" w:space="0" w:color="9CD2BF"/>
              <w:right w:val="single" w:sz="8" w:space="0" w:color="FFFFFF"/>
            </w:tcBorders>
            <w:shd w:val="clear" w:color="auto" w:fill="F4F4F9"/>
          </w:tcPr>
          <w:p w14:paraId="45547557" w14:textId="7992173E"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74</w:t>
            </w:r>
          </w:p>
        </w:tc>
        <w:tc>
          <w:tcPr>
            <w:tcW w:w="1358"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2E492D04" w14:textId="5B431A23"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+1</w:t>
            </w:r>
          </w:p>
        </w:tc>
        <w:tc>
          <w:tcPr>
            <w:tcW w:w="1120" w:type="dxa"/>
            <w:tcBorders>
              <w:top w:val="single" w:sz="8" w:space="0" w:color="A8A9CE"/>
              <w:left w:val="single" w:sz="8" w:space="0" w:color="FFFFFF"/>
              <w:bottom w:val="single" w:sz="8" w:space="0" w:color="9CD2BF"/>
              <w:right w:val="single" w:sz="8" w:space="0" w:color="FFFFFF"/>
            </w:tcBorders>
            <w:shd w:val="clear" w:color="auto" w:fill="F4F4F9"/>
            <w:tcMar>
              <w:top w:w="15" w:type="dxa"/>
              <w:left w:w="108" w:type="dxa"/>
              <w:bottom w:w="0" w:type="dxa"/>
              <w:right w:w="108" w:type="dxa"/>
            </w:tcMar>
            <w:vAlign w:val="center"/>
            <w:hideMark/>
          </w:tcPr>
          <w:p w14:paraId="4850C3D3" w14:textId="72109371"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b/>
                <w:bCs/>
                <w:color w:val="000000"/>
                <w:kern w:val="24"/>
                <w:sz w:val="20"/>
                <w:szCs w:val="20"/>
                <w:highlight w:val="green"/>
                <w:lang w:val="sr-Latn-RS" w:eastAsia="en-GB"/>
              </w:rPr>
              <w:t>↗</w:t>
            </w:r>
          </w:p>
        </w:tc>
      </w:tr>
      <w:tr w:rsidR="00A40195" w:rsidRPr="009D0BAB" w14:paraId="4182D031" w14:textId="77777777" w:rsidTr="00A40195">
        <w:trPr>
          <w:trHeight w:val="248"/>
          <w:jc w:val="center"/>
        </w:trPr>
        <w:tc>
          <w:tcPr>
            <w:tcW w:w="3284"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79F8951D"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11. Dinamika poslovanja</w:t>
            </w:r>
          </w:p>
        </w:tc>
        <w:tc>
          <w:tcPr>
            <w:tcW w:w="1020" w:type="dxa"/>
            <w:tcBorders>
              <w:top w:val="single" w:sz="8" w:space="0" w:color="9CD2BF"/>
              <w:left w:val="single" w:sz="8" w:space="0" w:color="FFFFFF"/>
              <w:bottom w:val="single" w:sz="8" w:space="0" w:color="9CD2BF"/>
              <w:right w:val="single" w:sz="8" w:space="0" w:color="FFFFFF"/>
            </w:tcBorders>
            <w:shd w:val="clear" w:color="auto" w:fill="EBF6F2"/>
            <w:tcMar>
              <w:top w:w="15" w:type="dxa"/>
              <w:left w:w="15" w:type="dxa"/>
              <w:bottom w:w="0" w:type="dxa"/>
              <w:right w:w="15" w:type="dxa"/>
            </w:tcMar>
            <w:vAlign w:val="center"/>
            <w:hideMark/>
          </w:tcPr>
          <w:p w14:paraId="507D6A27"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59</w:t>
            </w:r>
          </w:p>
        </w:tc>
        <w:tc>
          <w:tcPr>
            <w:tcW w:w="1081" w:type="dxa"/>
            <w:tcBorders>
              <w:top w:val="single" w:sz="8" w:space="0" w:color="9CD2BF"/>
              <w:left w:val="single" w:sz="8" w:space="0" w:color="FFFFFF"/>
              <w:bottom w:val="single" w:sz="8" w:space="0" w:color="9CD2BF"/>
              <w:right w:val="single" w:sz="8" w:space="0" w:color="FFFFFF"/>
            </w:tcBorders>
            <w:shd w:val="clear" w:color="auto" w:fill="EBF6F2"/>
            <w:tcMar>
              <w:top w:w="15" w:type="dxa"/>
              <w:left w:w="15" w:type="dxa"/>
              <w:bottom w:w="0" w:type="dxa"/>
              <w:right w:w="15" w:type="dxa"/>
            </w:tcMar>
            <w:vAlign w:val="center"/>
            <w:hideMark/>
          </w:tcPr>
          <w:p w14:paraId="765E344E"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59</w:t>
            </w:r>
          </w:p>
        </w:tc>
        <w:tc>
          <w:tcPr>
            <w:tcW w:w="1268" w:type="dxa"/>
            <w:tcBorders>
              <w:top w:val="single" w:sz="8" w:space="0" w:color="9CD2BF"/>
              <w:left w:val="single" w:sz="8" w:space="0" w:color="FFFFFF"/>
              <w:bottom w:val="single" w:sz="8" w:space="0" w:color="9CD2BF"/>
              <w:right w:val="single" w:sz="8" w:space="0" w:color="FFFFFF"/>
            </w:tcBorders>
            <w:shd w:val="clear" w:color="auto" w:fill="EBF6F2"/>
          </w:tcPr>
          <w:p w14:paraId="60DC9017" w14:textId="368497F7"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54</w:t>
            </w:r>
          </w:p>
        </w:tc>
        <w:tc>
          <w:tcPr>
            <w:tcW w:w="1358"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170981E2" w14:textId="18551D14"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w:t>
            </w:r>
          </w:p>
        </w:tc>
        <w:tc>
          <w:tcPr>
            <w:tcW w:w="1120" w:type="dxa"/>
            <w:tcBorders>
              <w:top w:val="single" w:sz="8" w:space="0" w:color="9CD2BF"/>
              <w:left w:val="single" w:sz="8" w:space="0" w:color="FFFFFF"/>
              <w:bottom w:val="single" w:sz="8" w:space="0" w:color="9CD2BF"/>
              <w:right w:val="single" w:sz="8" w:space="0" w:color="FFFFFF"/>
            </w:tcBorders>
            <w:shd w:val="clear" w:color="auto" w:fill="EBF6F2"/>
            <w:tcMar>
              <w:top w:w="15" w:type="dxa"/>
              <w:left w:w="108" w:type="dxa"/>
              <w:bottom w:w="0" w:type="dxa"/>
              <w:right w:w="108" w:type="dxa"/>
            </w:tcMar>
            <w:vAlign w:val="center"/>
            <w:hideMark/>
          </w:tcPr>
          <w:p w14:paraId="62C88428" w14:textId="5C152EBA"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b/>
                <w:bCs/>
                <w:color w:val="000000"/>
                <w:kern w:val="24"/>
                <w:sz w:val="20"/>
                <w:szCs w:val="20"/>
                <w:highlight w:val="green"/>
                <w:lang w:val="sr-Latn-RS" w:eastAsia="en-GB"/>
              </w:rPr>
              <w:t>↗</w:t>
            </w:r>
          </w:p>
        </w:tc>
      </w:tr>
      <w:tr w:rsidR="00A40195" w:rsidRPr="009D0BAB" w14:paraId="3E237567" w14:textId="77777777" w:rsidTr="00A40195">
        <w:trPr>
          <w:trHeight w:val="248"/>
          <w:jc w:val="center"/>
        </w:trPr>
        <w:tc>
          <w:tcPr>
            <w:tcW w:w="3284"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5279C396" w14:textId="77777777" w:rsidR="00A40195" w:rsidRPr="009D0BAB" w:rsidRDefault="00A40195" w:rsidP="008E0F0C">
            <w:pPr>
              <w:rPr>
                <w:rFonts w:ascii="Times New Roman" w:hAnsi="Times New Roman"/>
                <w:sz w:val="20"/>
                <w:szCs w:val="20"/>
                <w:lang w:val="sr-Latn-RS" w:eastAsia="en-GB"/>
              </w:rPr>
            </w:pPr>
            <w:r w:rsidRPr="009D0BAB">
              <w:rPr>
                <w:rFonts w:ascii="Times New Roman" w:eastAsia="Roboto Slab" w:hAnsi="Times New Roman"/>
                <w:b/>
                <w:bCs/>
                <w:color w:val="000000" w:themeColor="text1"/>
                <w:kern w:val="24"/>
                <w:sz w:val="20"/>
                <w:szCs w:val="20"/>
                <w:lang w:val="sr-Latn-RS" w:eastAsia="en-GB"/>
              </w:rPr>
              <w:t>12. Sposobnost za inoviranjem</w:t>
            </w:r>
          </w:p>
        </w:tc>
        <w:tc>
          <w:tcPr>
            <w:tcW w:w="1020" w:type="dxa"/>
            <w:tcBorders>
              <w:top w:val="single" w:sz="8" w:space="0" w:color="9CD2BF"/>
              <w:left w:val="single" w:sz="8" w:space="0" w:color="FFFFFF"/>
              <w:bottom w:val="single" w:sz="8" w:space="0" w:color="FFFFFF"/>
              <w:right w:val="single" w:sz="8" w:space="0" w:color="FFFFFF"/>
            </w:tcBorders>
            <w:shd w:val="clear" w:color="auto" w:fill="EBF6F2"/>
            <w:tcMar>
              <w:top w:w="15" w:type="dxa"/>
              <w:left w:w="15" w:type="dxa"/>
              <w:bottom w:w="0" w:type="dxa"/>
              <w:right w:w="15" w:type="dxa"/>
            </w:tcMar>
            <w:vAlign w:val="center"/>
            <w:hideMark/>
          </w:tcPr>
          <w:p w14:paraId="24513EE4"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65</w:t>
            </w:r>
          </w:p>
        </w:tc>
        <w:tc>
          <w:tcPr>
            <w:tcW w:w="1081" w:type="dxa"/>
            <w:tcBorders>
              <w:top w:val="single" w:sz="8" w:space="0" w:color="9CD2BF"/>
              <w:left w:val="single" w:sz="8" w:space="0" w:color="FFFFFF"/>
              <w:bottom w:val="single" w:sz="8" w:space="0" w:color="FFFFFF"/>
              <w:right w:val="single" w:sz="8" w:space="0" w:color="FFFFFF"/>
            </w:tcBorders>
            <w:shd w:val="clear" w:color="auto" w:fill="EBF6F2"/>
            <w:tcMar>
              <w:top w:w="15" w:type="dxa"/>
              <w:left w:w="15" w:type="dxa"/>
              <w:bottom w:w="0" w:type="dxa"/>
              <w:right w:w="15" w:type="dxa"/>
            </w:tcMar>
            <w:vAlign w:val="center"/>
            <w:hideMark/>
          </w:tcPr>
          <w:p w14:paraId="5BE66BCC" w14:textId="77777777" w:rsidR="00A40195" w:rsidRPr="009D0BAB" w:rsidRDefault="00A40195" w:rsidP="008E0F0C">
            <w:pPr>
              <w:jc w:val="center"/>
              <w:textAlignment w:val="bottom"/>
              <w:rPr>
                <w:rFonts w:ascii="Times New Roman" w:hAnsi="Times New Roman"/>
                <w:sz w:val="20"/>
                <w:szCs w:val="20"/>
                <w:lang w:val="sr-Latn-RS" w:eastAsia="en-GB"/>
              </w:rPr>
            </w:pPr>
            <w:r w:rsidRPr="009D0BAB">
              <w:rPr>
                <w:rFonts w:ascii="Times New Roman" w:eastAsia="Roboto Slab" w:hAnsi="Times New Roman"/>
                <w:b/>
                <w:bCs/>
                <w:color w:val="000000"/>
                <w:kern w:val="24"/>
                <w:sz w:val="20"/>
                <w:szCs w:val="20"/>
                <w:lang w:val="sr-Latn-RS" w:eastAsia="en-GB"/>
              </w:rPr>
              <w:t>56</w:t>
            </w:r>
          </w:p>
        </w:tc>
        <w:tc>
          <w:tcPr>
            <w:tcW w:w="1268" w:type="dxa"/>
            <w:tcBorders>
              <w:top w:val="single" w:sz="8" w:space="0" w:color="9CD2BF"/>
              <w:left w:val="single" w:sz="8" w:space="0" w:color="FFFFFF"/>
              <w:bottom w:val="single" w:sz="8" w:space="0" w:color="FFFFFF"/>
              <w:right w:val="single" w:sz="8" w:space="0" w:color="FFFFFF"/>
            </w:tcBorders>
            <w:shd w:val="clear" w:color="auto" w:fill="EBF6F2"/>
          </w:tcPr>
          <w:p w14:paraId="33B2E310" w14:textId="3AE62A44" w:rsidR="00A40195" w:rsidRPr="009D0BAB" w:rsidRDefault="00A40195" w:rsidP="008E0F0C">
            <w:pPr>
              <w:jc w:val="center"/>
              <w:rPr>
                <w:rFonts w:ascii="Times New Roman" w:eastAsia="Roboto Slab" w:hAnsi="Times New Roman"/>
                <w:b/>
                <w:bCs/>
                <w:color w:val="000000" w:themeColor="dark1"/>
                <w:kern w:val="24"/>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59</w:t>
            </w:r>
          </w:p>
        </w:tc>
        <w:tc>
          <w:tcPr>
            <w:tcW w:w="1358"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31C24914" w14:textId="410AA763" w:rsidR="00A40195" w:rsidRPr="009D0BAB" w:rsidRDefault="00A40195" w:rsidP="008E0F0C">
            <w:pPr>
              <w:jc w:val="center"/>
              <w:rPr>
                <w:rFonts w:ascii="Times New Roman" w:hAnsi="Times New Roman"/>
                <w:sz w:val="20"/>
                <w:szCs w:val="20"/>
                <w:lang w:val="sr-Latn-RS" w:eastAsia="en-GB"/>
              </w:rPr>
            </w:pPr>
            <w:r w:rsidRPr="009D0BAB">
              <w:rPr>
                <w:rFonts w:ascii="Times New Roman" w:eastAsia="Roboto Slab" w:hAnsi="Times New Roman"/>
                <w:b/>
                <w:bCs/>
                <w:color w:val="000000" w:themeColor="dark1"/>
                <w:kern w:val="24"/>
                <w:sz w:val="20"/>
                <w:szCs w:val="20"/>
                <w:lang w:val="sr-Latn-RS" w:eastAsia="en-GB"/>
              </w:rPr>
              <w:t>-3</w:t>
            </w:r>
          </w:p>
        </w:tc>
        <w:tc>
          <w:tcPr>
            <w:tcW w:w="1120" w:type="dxa"/>
            <w:tcBorders>
              <w:top w:val="single" w:sz="8" w:space="0" w:color="9CD2BF"/>
              <w:left w:val="single" w:sz="8" w:space="0" w:color="FFFFFF"/>
              <w:bottom w:val="single" w:sz="8" w:space="0" w:color="FFFFFF"/>
              <w:right w:val="single" w:sz="8" w:space="0" w:color="FFFFFF"/>
            </w:tcBorders>
            <w:shd w:val="clear" w:color="auto" w:fill="EBF6F2"/>
            <w:tcMar>
              <w:top w:w="15" w:type="dxa"/>
              <w:left w:w="108" w:type="dxa"/>
              <w:bottom w:w="0" w:type="dxa"/>
              <w:right w:w="108" w:type="dxa"/>
            </w:tcMar>
            <w:vAlign w:val="center"/>
            <w:hideMark/>
          </w:tcPr>
          <w:p w14:paraId="057A4130" w14:textId="1ACFF5FA" w:rsidR="00A40195" w:rsidRPr="009D0BAB" w:rsidRDefault="00AC6ED0" w:rsidP="008E0F0C">
            <w:pPr>
              <w:jc w:val="center"/>
              <w:rPr>
                <w:rFonts w:ascii="Times New Roman" w:hAnsi="Times New Roman"/>
                <w:sz w:val="20"/>
                <w:szCs w:val="20"/>
                <w:lang w:val="sr-Latn-RS" w:eastAsia="en-GB"/>
              </w:rPr>
            </w:pPr>
            <w:r w:rsidRPr="009D0BAB">
              <w:rPr>
                <w:rFonts w:ascii="Cambria Math" w:eastAsia="Roboto Slab" w:hAnsi="Cambria Math" w:cs="Cambria Math"/>
                <w:color w:val="000000" w:themeColor="dark1"/>
                <w:kern w:val="24"/>
                <w:sz w:val="20"/>
                <w:szCs w:val="20"/>
                <w:highlight w:val="red"/>
                <w:lang w:val="sr-Latn-RS" w:eastAsia="en-GB"/>
              </w:rPr>
              <w:t>↘</w:t>
            </w:r>
          </w:p>
        </w:tc>
      </w:tr>
    </w:tbl>
    <w:p w14:paraId="715BB546" w14:textId="77777777" w:rsidR="008E0F0C" w:rsidRPr="009D0BAB" w:rsidRDefault="00EE5C03" w:rsidP="00E5451B">
      <w:pPr>
        <w:jc w:val="both"/>
        <w:rPr>
          <w:rFonts w:ascii="Times New Roman" w:eastAsia="Calibri" w:hAnsi="Times New Roman"/>
          <w:lang w:val="sr-Latn-RS"/>
        </w:rPr>
      </w:pPr>
      <w:r w:rsidRPr="009D0BAB">
        <w:rPr>
          <w:rFonts w:ascii="Times New Roman" w:eastAsia="Calibri" w:hAnsi="Times New Roman"/>
          <w:b/>
          <w:sz w:val="16"/>
          <w:lang w:val="sr-Latn-RS"/>
        </w:rPr>
        <w:t>Izvor:</w:t>
      </w:r>
      <w:r w:rsidRPr="009D0BAB">
        <w:rPr>
          <w:rFonts w:ascii="Times New Roman" w:eastAsia="Calibri" w:hAnsi="Times New Roman"/>
          <w:sz w:val="16"/>
          <w:lang w:val="sr-Latn-RS"/>
        </w:rPr>
        <w:t xml:space="preserve"> WEF 2018.</w:t>
      </w:r>
    </w:p>
    <w:p w14:paraId="66463BDC" w14:textId="77777777" w:rsidR="008E0F0C" w:rsidRPr="009D0BAB" w:rsidRDefault="008E0F0C" w:rsidP="00E5451B">
      <w:pPr>
        <w:jc w:val="both"/>
        <w:rPr>
          <w:rFonts w:ascii="Times New Roman" w:eastAsia="Calibri" w:hAnsi="Times New Roman"/>
          <w:lang w:val="sr-Latn-RS"/>
        </w:rPr>
      </w:pPr>
    </w:p>
    <w:p w14:paraId="2F78485B" w14:textId="23A9D0DC"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Od tri stuba kod kojih je zabeleženo smanjenje vrednosti indeksa najveći pad je ostvario stub Usvajanje IKT-a od 4,3 poena u poređenju sa vr</w:t>
      </w:r>
      <w:r>
        <w:rPr>
          <w:rFonts w:ascii="Times New Roman" w:eastAsia="Calibri" w:hAnsi="Times New Roman"/>
          <w:lang w:val="sr-Latn-RS"/>
        </w:rPr>
        <w:t xml:space="preserve">ednošću iz prošle godine. Koliki </w:t>
      </w:r>
      <w:r w:rsidRPr="009D0BAB">
        <w:rPr>
          <w:rFonts w:ascii="Times New Roman" w:eastAsia="Calibri" w:hAnsi="Times New Roman"/>
          <w:lang w:val="sr-Latn-RS"/>
        </w:rPr>
        <w:t xml:space="preserve">je </w:t>
      </w:r>
      <w:r>
        <w:rPr>
          <w:rFonts w:ascii="Times New Roman" w:eastAsia="Calibri" w:hAnsi="Times New Roman"/>
          <w:lang w:val="sr-Latn-RS"/>
        </w:rPr>
        <w:t xml:space="preserve">intenzite </w:t>
      </w:r>
      <w:r w:rsidRPr="009D0BAB">
        <w:rPr>
          <w:rFonts w:ascii="Times New Roman" w:eastAsia="Calibri" w:hAnsi="Times New Roman"/>
          <w:lang w:val="sr-Latn-RS"/>
        </w:rPr>
        <w:t>ove promene</w:t>
      </w:r>
      <w:r>
        <w:rPr>
          <w:rFonts w:ascii="Times New Roman" w:eastAsia="Calibri" w:hAnsi="Times New Roman"/>
          <w:lang w:val="sr-Latn-RS"/>
        </w:rPr>
        <w:t xml:space="preserve"> </w:t>
      </w:r>
      <w:r w:rsidRPr="009D0BAB">
        <w:rPr>
          <w:rFonts w:ascii="Times New Roman" w:eastAsia="Calibri" w:hAnsi="Times New Roman"/>
          <w:lang w:val="sr-Latn-RS"/>
        </w:rPr>
        <w:t xml:space="preserve"> dovoljno govori činjenica da je pad indeksa samo ovog stuba gotovo u potpunosti neutralisao pozitivan doprinos tri stuba kod kojih je zabeleženo najveće povećanje vrednosti indeksa. Izvor pogoršanja vrednosti indeksa krije se u smanjenju broja pretplatnika mobilne telefonije u odnosu na prošlu godinu kao i pretplatnika fiksnog širokopojasnog interneta, dok je povećanje učešća korisnika interneta u celokupnoj populaciji donekle ublažilo pad prethodne dve navedene vrednosti. </w:t>
      </w:r>
    </w:p>
    <w:p w14:paraId="347CA6C6" w14:textId="6EC58F55" w:rsidR="0037061C" w:rsidRPr="009D0BAB" w:rsidRDefault="0037061C" w:rsidP="0037061C">
      <w:pPr>
        <w:jc w:val="both"/>
        <w:rPr>
          <w:rFonts w:ascii="Times New Roman" w:eastAsia="Calibri" w:hAnsi="Times New Roman"/>
          <w:lang w:val="sr-Latn-RS"/>
        </w:rPr>
      </w:pPr>
      <w:r w:rsidRPr="009D0BAB">
        <w:rPr>
          <w:rFonts w:ascii="Times New Roman" w:eastAsia="Calibri" w:hAnsi="Times New Roman"/>
          <w:lang w:val="sr-Latn-RS"/>
        </w:rPr>
        <w:lastRenderedPageBreak/>
        <w:tab/>
        <w:t>Osetno smanjenje vrednosti na nivou stuba konkurentnosti je zabeleženo i kod Zdravstva čiji indeks je smanjen za 2,5 poena u odnosu na 2018. godinu. Ovaj stub se prati samo pomoću indikatora očekivane godine zdravog života</w:t>
      </w:r>
      <w:r>
        <w:rPr>
          <w:rFonts w:ascii="Times New Roman" w:eastAsia="Calibri" w:hAnsi="Times New Roman"/>
          <w:lang w:val="sr-Latn-RS"/>
        </w:rPr>
        <w:t>,</w:t>
      </w:r>
      <w:r w:rsidRPr="009D0BAB">
        <w:rPr>
          <w:rFonts w:ascii="Times New Roman" w:eastAsia="Calibri" w:hAnsi="Times New Roman"/>
          <w:lang w:val="sr-Latn-RS"/>
        </w:rPr>
        <w:t xml:space="preserve"> koje su u odnosu na prošlu godinu za Srbiju smanjen</w:t>
      </w:r>
      <w:r>
        <w:rPr>
          <w:rFonts w:ascii="Times New Roman" w:eastAsia="Calibri" w:hAnsi="Times New Roman"/>
          <w:lang w:val="sr-Latn-RS"/>
        </w:rPr>
        <w:t>e</w:t>
      </w:r>
      <w:r w:rsidRPr="009D0BAB">
        <w:rPr>
          <w:rFonts w:ascii="Times New Roman" w:eastAsia="Calibri" w:hAnsi="Times New Roman"/>
          <w:lang w:val="sr-Latn-RS"/>
        </w:rPr>
        <w:t xml:space="preserve"> sa 66,1 na 65,3 godine za novorođenčad</w:t>
      </w:r>
      <w:r w:rsidR="005D0356">
        <w:rPr>
          <w:rStyle w:val="FootnoteReference"/>
          <w:rFonts w:ascii="Times New Roman" w:eastAsia="Calibri" w:hAnsi="Times New Roman"/>
          <w:lang w:val="sr-Latn-RS"/>
        </w:rPr>
        <w:footnoteReference w:id="4"/>
      </w:r>
      <w:r w:rsidRPr="009D0BAB">
        <w:rPr>
          <w:rFonts w:ascii="Times New Roman" w:eastAsia="Calibri" w:hAnsi="Times New Roman"/>
          <w:lang w:val="sr-Latn-RS"/>
        </w:rPr>
        <w:t xml:space="preserve">. </w:t>
      </w:r>
    </w:p>
    <w:p w14:paraId="2D16B9FF" w14:textId="77777777" w:rsidR="0037061C" w:rsidRPr="009D0BAB" w:rsidRDefault="0037061C" w:rsidP="0037061C">
      <w:pPr>
        <w:jc w:val="both"/>
        <w:rPr>
          <w:rFonts w:ascii="Times New Roman" w:eastAsia="Calibri" w:hAnsi="Times New Roman"/>
          <w:lang w:val="sr-Latn-RS"/>
        </w:rPr>
      </w:pPr>
      <w:r w:rsidRPr="009D0BAB">
        <w:rPr>
          <w:rFonts w:ascii="Times New Roman" w:eastAsia="Calibri" w:hAnsi="Times New Roman"/>
          <w:lang w:val="sr-Latn-RS"/>
        </w:rPr>
        <w:tab/>
        <w:t>Negativan doprinos povećanju IG</w:t>
      </w:r>
      <w:r>
        <w:rPr>
          <w:rFonts w:ascii="Times New Roman" w:eastAsia="Calibri" w:hAnsi="Times New Roman"/>
          <w:lang w:val="sr-Latn-RS"/>
        </w:rPr>
        <w:t>K</w:t>
      </w:r>
      <w:r w:rsidRPr="009D0BAB">
        <w:rPr>
          <w:rFonts w:ascii="Times New Roman" w:eastAsia="Calibri" w:hAnsi="Times New Roman"/>
          <w:lang w:val="sr-Latn-RS"/>
        </w:rPr>
        <w:t xml:space="preserve"> zabeleženo je i kod stuba Tržište proizvoda čija vrednost pojedinačnog indeksa je smanjena za 1,9 poena u poređenju sa vrednošću iz prethodnog izveštaja. Pad je rezultat lošijih ocena koje su ispitanici dali na pitanja iz ankete o korporativnoj dominaciji od strane nekoliko preduzeća, konkurencije na tržištu profesionalnih, maloprodajnih i mrežnih usluga, kao i na pitanje o stepenu kompleksnosti sistema carinskih tarifa.    </w:t>
      </w:r>
      <w:r w:rsidRPr="009D0BAB">
        <w:rPr>
          <w:rFonts w:ascii="Times New Roman" w:eastAsia="Calibri" w:hAnsi="Times New Roman"/>
          <w:sz w:val="16"/>
          <w:lang w:val="sr-Latn-RS"/>
        </w:rPr>
        <w:tab/>
      </w:r>
      <w:r w:rsidRPr="009D0BAB">
        <w:rPr>
          <w:rFonts w:ascii="Times New Roman" w:eastAsia="Calibri" w:hAnsi="Times New Roman"/>
          <w:sz w:val="16"/>
          <w:lang w:val="sr-Latn-RS"/>
        </w:rPr>
        <w:tab/>
      </w:r>
    </w:p>
    <w:p w14:paraId="736D5341" w14:textId="6C965C5F" w:rsidR="0037061C" w:rsidRDefault="0037061C" w:rsidP="0037061C">
      <w:pPr>
        <w:jc w:val="both"/>
        <w:rPr>
          <w:rFonts w:ascii="Times New Roman" w:eastAsia="Calibri" w:hAnsi="Times New Roman"/>
          <w:lang w:val="sr-Latn-RS"/>
        </w:rPr>
      </w:pPr>
      <w:r w:rsidRPr="009D0BAB">
        <w:rPr>
          <w:rFonts w:ascii="Times New Roman" w:eastAsia="Calibri" w:hAnsi="Times New Roman"/>
          <w:sz w:val="16"/>
          <w:lang w:val="sr-Latn-RS"/>
        </w:rPr>
        <w:tab/>
      </w:r>
      <w:r w:rsidRPr="009D0BAB">
        <w:rPr>
          <w:rFonts w:ascii="Times New Roman" w:eastAsia="Calibri" w:hAnsi="Times New Roman"/>
          <w:lang w:val="sr-Latn-RS"/>
        </w:rPr>
        <w:t>Pad vrednosti na nivou pojedinačnih stubova se posledično odrazio i na njihov lošiji plasman kada se Srbija uporedi sa ostalim privredama u ovogodišnjem izvešaju. Ipak ono što se ističe je da uprkos povećanju vrednosti indeksa kod četiri stuba je takođe zabeleženo pogoršanje pozicije. Najveći pad od 17 mesta ostvaren je kod stuba Usvajanje IKT-a koji je zabeleži</w:t>
      </w:r>
      <w:r>
        <w:rPr>
          <w:rFonts w:ascii="Times New Roman" w:eastAsia="Calibri" w:hAnsi="Times New Roman"/>
          <w:lang w:val="sr-Latn-RS"/>
        </w:rPr>
        <w:t>o</w:t>
      </w:r>
      <w:r w:rsidRPr="009D0BAB">
        <w:rPr>
          <w:rFonts w:ascii="Times New Roman" w:eastAsia="Calibri" w:hAnsi="Times New Roman"/>
          <w:lang w:val="sr-Latn-RS"/>
        </w:rPr>
        <w:t xml:space="preserve"> najveći pad vrednosti indeksa, dok je usled manje vrednosti indeksa stub Zdravstvo pogoršao svoju poziciju za 9 mesta na rang listi. Tržište dobara je zabeležilo lošiji plasman za 7 mesta, dok su stubovi Infrastruktura, Tržište rada, Finansijski sistem i Sposobnost za inoviranjem lošije plasirani za 2-3 mesta u odnosu na izveštaj iz 2018. godine. Sa druge strane napredak je ostvaren kod četiri stuba ali sa relativno malim povećanjem za 1. mesto u slučaju stubova Institucije, Veštine i Veličina tržišta i poboljšanjem za 5 pozicija kada je stub Dinamika poslovanja u pitanju. </w:t>
      </w:r>
    </w:p>
    <w:p w14:paraId="5F629DFF" w14:textId="77777777" w:rsidR="0037061C" w:rsidRDefault="0037061C" w:rsidP="0037061C">
      <w:pPr>
        <w:jc w:val="both"/>
        <w:rPr>
          <w:rFonts w:ascii="Times New Roman" w:eastAsia="Calibri" w:hAnsi="Times New Roman"/>
          <w:lang w:val="sr-Latn-RS"/>
        </w:rPr>
      </w:pPr>
    </w:p>
    <w:p w14:paraId="6CFBCC0D" w14:textId="67019B64" w:rsidR="00E5451B" w:rsidRPr="009D0BAB" w:rsidRDefault="00E5451B" w:rsidP="00E5451B">
      <w:pPr>
        <w:jc w:val="both"/>
        <w:rPr>
          <w:rFonts w:ascii="Times New Roman" w:eastAsia="Calibri" w:hAnsi="Times New Roman"/>
          <w:lang w:val="sr-Latn-RS"/>
        </w:rPr>
      </w:pPr>
      <w:r w:rsidRPr="009D0BAB">
        <w:rPr>
          <w:rFonts w:ascii="Times New Roman" w:eastAsia="Calibri" w:hAnsi="Times New Roman"/>
          <w:b/>
          <w:lang w:val="sr-Latn-RS"/>
        </w:rPr>
        <w:t>Slika 1.</w:t>
      </w:r>
      <w:r w:rsidRPr="009D0BAB">
        <w:rPr>
          <w:rFonts w:ascii="Times New Roman" w:eastAsia="Calibri" w:hAnsi="Times New Roman"/>
          <w:lang w:val="sr-Latn-RS"/>
        </w:rPr>
        <w:t xml:space="preserve"> Uporedni prikaz </w:t>
      </w:r>
      <w:r w:rsidR="003818F5" w:rsidRPr="009D0BAB">
        <w:rPr>
          <w:rFonts w:ascii="Times New Roman" w:eastAsia="Calibri" w:hAnsi="Times New Roman"/>
          <w:lang w:val="sr-Latn-RS"/>
        </w:rPr>
        <w:t>vrednosti</w:t>
      </w:r>
      <w:r w:rsidRPr="009D0BAB">
        <w:rPr>
          <w:rFonts w:ascii="Times New Roman" w:eastAsia="Calibri" w:hAnsi="Times New Roman"/>
          <w:lang w:val="sr-Latn-RS"/>
        </w:rPr>
        <w:t xml:space="preserve"> stubova za Srbiju i prosek zemalja Evrope i Severne Amerike</w:t>
      </w:r>
      <w:r w:rsidR="0001656C" w:rsidRPr="009D0BAB">
        <w:rPr>
          <w:noProof/>
          <w:lang w:val="sr-Latn-RS" w:eastAsia="sr-Latn-RS"/>
        </w:rPr>
        <w:drawing>
          <wp:inline distT="0" distB="0" distL="0" distR="0" wp14:anchorId="6CF91E05" wp14:editId="01D96585">
            <wp:extent cx="6441440" cy="3891686"/>
            <wp:effectExtent l="0" t="0" r="1651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CFF00F" w14:textId="12BB4513" w:rsidR="008E0F0C" w:rsidRDefault="008E0F0C" w:rsidP="008E0F0C">
      <w:pPr>
        <w:jc w:val="center"/>
        <w:rPr>
          <w:rFonts w:ascii="Times New Roman" w:eastAsia="Calibri" w:hAnsi="Times New Roman"/>
          <w:lang w:val="sr-Latn-RS"/>
        </w:rPr>
      </w:pPr>
    </w:p>
    <w:p w14:paraId="1FBA001A" w14:textId="7027F611" w:rsidR="0037061C" w:rsidRPr="009D0BAB" w:rsidRDefault="0037061C" w:rsidP="0037061C">
      <w:pPr>
        <w:ind w:firstLine="708"/>
        <w:jc w:val="both"/>
        <w:rPr>
          <w:rFonts w:ascii="Times New Roman" w:eastAsia="Calibri" w:hAnsi="Times New Roman"/>
          <w:lang w:val="sr-Latn-RS"/>
        </w:rPr>
      </w:pPr>
      <w:r w:rsidRPr="009D0BAB">
        <w:rPr>
          <w:rFonts w:ascii="Times New Roman" w:eastAsia="Calibri" w:hAnsi="Times New Roman"/>
          <w:lang w:val="sr-Latn-RS"/>
        </w:rPr>
        <w:t xml:space="preserve">Kada se posmatra trenutna pozicija Srbije prema stubovima konkurentnosti u odnosu na ostale privrede, zaključuje se da u odnosu na prosek svih privreda imamo bolje rezultate kod stubova koji prate kvalitet i razvijenost Infrastrukture, Zdravstva i Veština dok zaostajemo u dimenzijama Usvajanja IKT-a, Makroekonomske stabilnosti, Finansijskog sistema, Tržišta rada i Veličine tržišta. U preostalih pet stubova ostvarujemo rezultate na nivou proseka pri čemu je to obično iznad vrednosti za prosek zemalja Evroazije. </w:t>
      </w:r>
      <w:r w:rsidRPr="009D0BAB">
        <w:rPr>
          <w:rFonts w:ascii="Times New Roman" w:eastAsia="Calibri" w:hAnsi="Times New Roman"/>
          <w:lang w:val="sr-Latn-RS"/>
        </w:rPr>
        <w:lastRenderedPageBreak/>
        <w:t>Ipak, u odnosu na privrede Evrope i Severne Amerike evidentno zaostajemo u svim dimenzijama konkurentnosti pri čemu je to najizraženije kod stubova Usvajanje IKT-a, Makroekonomska stabilnost, Sposobnost za inoviranjem i Tržište rada. Razlika između vrednosti IGK Srbije i najlošije rangirane privrede Čada iznosi 25,8 poena, dok za Singapurom koji je prvoplasirani zaostajemo za 23,9 poena. Ove relativno slične vrednosti pokazuju da je Srbija prešla prvu polovinu puta ali ono što je poznato iz dosadašnjih izveštaja je da su mnogo učestalije promene u grupi nerazvijenih zemalja koje uz relativno male promene mogu znatno da unaprede svoju konkurentsku poziciju, nego što je to slučaju u grupi srednje i visoko razvijenih privreda</w:t>
      </w:r>
      <w:r w:rsidR="007E5200">
        <w:rPr>
          <w:rFonts w:ascii="Times New Roman" w:eastAsia="Calibri" w:hAnsi="Times New Roman"/>
          <w:lang w:val="sr-Latn-RS"/>
        </w:rPr>
        <w:t xml:space="preserve"> koje se nalaze ispred Srbije na listi</w:t>
      </w:r>
      <w:r w:rsidRPr="009D0BAB">
        <w:rPr>
          <w:rFonts w:ascii="Times New Roman" w:eastAsia="Calibri" w:hAnsi="Times New Roman"/>
          <w:lang w:val="sr-Latn-RS"/>
        </w:rPr>
        <w:t xml:space="preserve">. To pokazuju i podaci iz prethodnih deset godina kada je uprkos iznosu fiskalnog stimulusa od preko 10 biliona dolara na globalnom nivou, većina privreda </w:t>
      </w:r>
      <w:r w:rsidR="007E5200">
        <w:rPr>
          <w:rFonts w:ascii="Times New Roman" w:eastAsia="Calibri" w:hAnsi="Times New Roman"/>
          <w:lang w:val="sr-Latn-RS"/>
        </w:rPr>
        <w:t>i dalje ostala zarobljena u fazi</w:t>
      </w:r>
      <w:r w:rsidRPr="009D0BAB">
        <w:rPr>
          <w:rFonts w:ascii="Times New Roman" w:eastAsia="Calibri" w:hAnsi="Times New Roman"/>
          <w:lang w:val="sr-Latn-RS"/>
        </w:rPr>
        <w:t xml:space="preserve"> niskog ili blagog rasta produktivnosti. Opasnost od globalnog usporavanja konkurentnosti dodatno je naglašena poslednjih godina usled povećanja trgovinskih tenzija, rastuće neizvesnosti kao i ekoloških i društvenih izazova koji su sve prisutniji.</w:t>
      </w:r>
      <w:r w:rsidR="007E5200">
        <w:rPr>
          <w:rFonts w:ascii="Times New Roman" w:eastAsia="Calibri" w:hAnsi="Times New Roman"/>
          <w:lang w:val="sr-Latn-RS"/>
        </w:rPr>
        <w:t xml:space="preserve"> </w:t>
      </w:r>
    </w:p>
    <w:p w14:paraId="3555A82B" w14:textId="77777777" w:rsidR="0037061C" w:rsidRPr="009D0BAB" w:rsidRDefault="0037061C" w:rsidP="0037061C">
      <w:pPr>
        <w:jc w:val="both"/>
        <w:rPr>
          <w:rFonts w:ascii="Times New Roman" w:eastAsia="Calibri" w:hAnsi="Times New Roman"/>
          <w:lang w:val="sr-Latn-RS"/>
        </w:rPr>
      </w:pPr>
    </w:p>
    <w:p w14:paraId="4E392120" w14:textId="77777777" w:rsidR="00E5451B" w:rsidRPr="009D0BAB" w:rsidRDefault="00E5451B" w:rsidP="00E5451B">
      <w:pPr>
        <w:jc w:val="both"/>
        <w:rPr>
          <w:rFonts w:ascii="Times New Roman" w:eastAsia="Calibri" w:hAnsi="Times New Roman"/>
          <w:lang w:val="sr-Latn-RS"/>
        </w:rPr>
      </w:pPr>
      <w:r w:rsidRPr="009D0BAB">
        <w:rPr>
          <w:rFonts w:ascii="Times New Roman" w:eastAsia="Calibri" w:hAnsi="Times New Roman"/>
          <w:lang w:val="sr-Latn-RS"/>
        </w:rPr>
        <w:tab/>
      </w:r>
    </w:p>
    <w:p w14:paraId="69C98909" w14:textId="1B2A835A" w:rsidR="004060D4" w:rsidRDefault="004060D4" w:rsidP="001746BA">
      <w:pPr>
        <w:jc w:val="both"/>
        <w:rPr>
          <w:rFonts w:ascii="Times New Roman" w:eastAsia="Calibri" w:hAnsi="Times New Roman"/>
          <w:b/>
          <w:i/>
          <w:sz w:val="28"/>
          <w:lang w:val="sr-Latn-RS"/>
        </w:rPr>
      </w:pPr>
    </w:p>
    <w:p w14:paraId="48FDC1ED" w14:textId="77777777" w:rsidR="0037061C" w:rsidRPr="009D0BAB" w:rsidRDefault="0037061C" w:rsidP="001746BA">
      <w:pPr>
        <w:jc w:val="both"/>
        <w:rPr>
          <w:rFonts w:ascii="Times New Roman" w:eastAsia="Calibri" w:hAnsi="Times New Roman"/>
          <w:b/>
          <w:i/>
          <w:sz w:val="28"/>
          <w:lang w:val="sr-Latn-RS"/>
        </w:rPr>
      </w:pPr>
    </w:p>
    <w:p w14:paraId="671307CB" w14:textId="3787A4C9" w:rsidR="001746BA" w:rsidRPr="009D0BAB" w:rsidRDefault="001746BA" w:rsidP="001746BA">
      <w:pPr>
        <w:jc w:val="both"/>
        <w:rPr>
          <w:rFonts w:ascii="Times New Roman" w:eastAsia="Calibri" w:hAnsi="Times New Roman"/>
          <w:lang w:val="sr-Latn-RS"/>
        </w:rPr>
      </w:pPr>
      <w:r w:rsidRPr="009D0BAB">
        <w:rPr>
          <w:rFonts w:ascii="Times New Roman" w:eastAsia="Calibri" w:hAnsi="Times New Roman"/>
          <w:b/>
          <w:i/>
          <w:sz w:val="28"/>
          <w:lang w:val="sr-Latn-RS"/>
        </w:rPr>
        <w:t>O revidiranom Indeksu globalne konkurentnosti (IGK v4.0) i šta on meri</w:t>
      </w:r>
    </w:p>
    <w:p w14:paraId="601EDCDF" w14:textId="77777777" w:rsidR="00E5451B" w:rsidRPr="009D0BAB" w:rsidRDefault="00E5451B" w:rsidP="00E5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sr-Latn-RS"/>
        </w:rPr>
      </w:pPr>
    </w:p>
    <w:p w14:paraId="410AE6B7" w14:textId="332D802B" w:rsidR="00C56B11" w:rsidRPr="009D0BAB" w:rsidRDefault="00390F9F" w:rsidP="00C56B11">
      <w:pPr>
        <w:jc w:val="both"/>
        <w:rPr>
          <w:rFonts w:ascii="Times New Roman" w:eastAsia="Calibri" w:hAnsi="Times New Roman"/>
          <w:lang w:val="sr-Latn-RS"/>
        </w:rPr>
      </w:pPr>
      <w:r w:rsidRPr="009D0BAB">
        <w:rPr>
          <w:rFonts w:ascii="Times New Roman" w:eastAsia="Calibri" w:hAnsi="Times New Roman"/>
          <w:lang w:val="sr-Latn-RS"/>
        </w:rPr>
        <w:tab/>
      </w:r>
      <w:r w:rsidR="00C56B11" w:rsidRPr="009D0BAB">
        <w:rPr>
          <w:rFonts w:ascii="Times New Roman" w:eastAsia="Calibri" w:hAnsi="Times New Roman"/>
          <w:lang w:val="sr-Latn-RS"/>
        </w:rPr>
        <w:t xml:space="preserve">SEF je u novom globalnom </w:t>
      </w:r>
      <w:r w:rsidR="003818F5" w:rsidRPr="009D0BAB">
        <w:rPr>
          <w:rFonts w:ascii="Times New Roman" w:eastAsia="Calibri" w:hAnsi="Times New Roman"/>
          <w:lang w:val="sr-Latn-RS"/>
        </w:rPr>
        <w:t>izveštaju</w:t>
      </w:r>
      <w:r w:rsidR="00C56B11" w:rsidRPr="009D0BAB">
        <w:rPr>
          <w:rFonts w:ascii="Times New Roman" w:eastAsia="Calibri" w:hAnsi="Times New Roman"/>
          <w:lang w:val="sr-Latn-RS"/>
        </w:rPr>
        <w:t xml:space="preserve"> o kretanju konkurentnos</w:t>
      </w:r>
      <w:r w:rsidR="00DC2D74" w:rsidRPr="009D0BAB">
        <w:rPr>
          <w:rFonts w:ascii="Times New Roman" w:eastAsia="Calibri" w:hAnsi="Times New Roman"/>
          <w:lang w:val="sr-Latn-RS"/>
        </w:rPr>
        <w:t>t</w:t>
      </w:r>
      <w:r w:rsidR="00C56B11" w:rsidRPr="009D0BAB">
        <w:rPr>
          <w:rFonts w:ascii="Times New Roman" w:eastAsia="Calibri" w:hAnsi="Times New Roman"/>
          <w:lang w:val="sr-Latn-RS"/>
        </w:rPr>
        <w:t>i u 2018. izvršio značajnu reviziju dosadašnje metodologije koja se koristila za procenu konkurentske pozicije privreda. I dalje se konkurentnost prati na osnovu 12 stubova konkurentnosti ali je njihova pozicija, struktura i način kalkulacije promenjen, kao i imena.</w:t>
      </w:r>
      <w:r w:rsidR="00426DD2" w:rsidRPr="009D0BAB">
        <w:rPr>
          <w:rFonts w:ascii="Times New Roman" w:eastAsia="Calibri" w:hAnsi="Times New Roman"/>
          <w:lang w:val="sr-Latn-RS"/>
        </w:rPr>
        <w:t xml:space="preserve"> Ovogodišnje izdanje izveštaja donosi određene promene u okviru posmatranja stubova </w:t>
      </w:r>
      <w:r w:rsidR="009D0BAB" w:rsidRPr="009D0BAB">
        <w:rPr>
          <w:rFonts w:ascii="Times New Roman" w:eastAsia="Calibri" w:hAnsi="Times New Roman"/>
          <w:lang w:val="sr-Latn-RS"/>
        </w:rPr>
        <w:t>konkurentnosti</w:t>
      </w:r>
      <w:r w:rsidR="00426DD2" w:rsidRPr="009D0BAB">
        <w:rPr>
          <w:rFonts w:ascii="Times New Roman" w:eastAsia="Calibri" w:hAnsi="Times New Roman"/>
          <w:lang w:val="sr-Latn-RS"/>
        </w:rPr>
        <w:t xml:space="preserve"> ali su one sprovedene tako da ne remete uporedivost ovogo</w:t>
      </w:r>
      <w:r w:rsidR="0083080B">
        <w:rPr>
          <w:rFonts w:ascii="Times New Roman" w:eastAsia="Calibri" w:hAnsi="Times New Roman"/>
          <w:lang w:val="sr-Latn-RS"/>
        </w:rPr>
        <w:t>dišnjeg izveštaja s</w:t>
      </w:r>
      <w:r w:rsidR="00426DD2" w:rsidRPr="009D0BAB">
        <w:rPr>
          <w:rFonts w:ascii="Times New Roman" w:eastAsia="Calibri" w:hAnsi="Times New Roman"/>
          <w:lang w:val="sr-Latn-RS"/>
        </w:rPr>
        <w:t xml:space="preserve">a rezultatima iz 2018. godine. </w:t>
      </w:r>
    </w:p>
    <w:p w14:paraId="3EF354CF" w14:textId="05C72144" w:rsidR="00CE76CA" w:rsidRPr="009D0BAB" w:rsidRDefault="00CE76CA" w:rsidP="00C56B11">
      <w:pPr>
        <w:jc w:val="both"/>
        <w:rPr>
          <w:rFonts w:ascii="Times New Roman" w:eastAsia="Calibri" w:hAnsi="Times New Roman"/>
          <w:lang w:val="sr-Latn-RS"/>
        </w:rPr>
      </w:pPr>
    </w:p>
    <w:p w14:paraId="025B6CB1" w14:textId="56F638DD" w:rsidR="00CE76CA" w:rsidRPr="009D0BAB" w:rsidRDefault="00CE76CA" w:rsidP="00C56B11">
      <w:pPr>
        <w:jc w:val="both"/>
        <w:rPr>
          <w:rFonts w:ascii="Times New Roman" w:eastAsia="Calibri" w:hAnsi="Times New Roman"/>
          <w:lang w:val="sr-Latn-RS"/>
        </w:rPr>
      </w:pPr>
    </w:p>
    <w:p w14:paraId="5A41DFC8" w14:textId="552822B3" w:rsidR="00C56B11" w:rsidRPr="009D0BAB" w:rsidRDefault="00404B81" w:rsidP="00C56B11">
      <w:pPr>
        <w:jc w:val="both"/>
        <w:rPr>
          <w:rFonts w:ascii="Times New Roman" w:eastAsia="Calibri" w:hAnsi="Times New Roman"/>
          <w:lang w:val="sr-Latn-RS"/>
        </w:rPr>
      </w:pPr>
      <w:r w:rsidRPr="00531AAB">
        <w:rPr>
          <w:rFonts w:ascii="Times New Roman" w:eastAsia="Calibri" w:hAnsi="Times New Roman"/>
          <w:b/>
          <w:lang w:val="sr-Latn-RS"/>
        </w:rPr>
        <w:t>Slika 2.</w:t>
      </w:r>
      <w:r w:rsidRPr="009D0BAB">
        <w:rPr>
          <w:rFonts w:ascii="Times New Roman" w:eastAsia="Calibri" w:hAnsi="Times New Roman"/>
          <w:lang w:val="sr-Latn-RS"/>
        </w:rPr>
        <w:t xml:space="preserve"> Pregled rasporeda i naslova novih stubova prema metodologiji IGK v4.0 u odnosu na </w:t>
      </w:r>
      <w:r w:rsidR="003818F5" w:rsidRPr="009D0BAB">
        <w:rPr>
          <w:rFonts w:ascii="Times New Roman" w:eastAsia="Calibri" w:hAnsi="Times New Roman"/>
          <w:lang w:val="sr-Latn-RS"/>
        </w:rPr>
        <w:t>prethodne</w:t>
      </w:r>
    </w:p>
    <w:p w14:paraId="561A3BD3" w14:textId="586035F1" w:rsidR="00CE76CA" w:rsidRPr="009D0BAB" w:rsidRDefault="00F43C47" w:rsidP="00F43C47">
      <w:pPr>
        <w:jc w:val="center"/>
        <w:rPr>
          <w:rFonts w:ascii="Times New Roman" w:eastAsia="Calibri" w:hAnsi="Times New Roman"/>
          <w:lang w:val="sr-Latn-RS"/>
        </w:rPr>
      </w:pPr>
      <w:r w:rsidRPr="009D0BAB">
        <w:rPr>
          <w:rFonts w:ascii="Times New Roman" w:eastAsia="Calibri" w:hAnsi="Times New Roman"/>
          <w:noProof/>
          <w:lang w:val="sr-Latn-RS" w:eastAsia="sr-Latn-RS"/>
        </w:rPr>
        <w:lastRenderedPageBreak/>
        <w:drawing>
          <wp:inline distT="0" distB="0" distL="0" distR="0" wp14:anchorId="55F22381" wp14:editId="4B640D54">
            <wp:extent cx="5153660" cy="441071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660" cy="4410710"/>
                    </a:xfrm>
                    <a:prstGeom prst="rect">
                      <a:avLst/>
                    </a:prstGeom>
                    <a:noFill/>
                  </pic:spPr>
                </pic:pic>
              </a:graphicData>
            </a:graphic>
          </wp:inline>
        </w:drawing>
      </w:r>
    </w:p>
    <w:p w14:paraId="05C93802" w14:textId="060333DB" w:rsidR="00DB7F3A" w:rsidRPr="009D0BAB" w:rsidRDefault="00CE76CA" w:rsidP="00CE76CA">
      <w:pPr>
        <w:tabs>
          <w:tab w:val="left" w:pos="1335"/>
          <w:tab w:val="right" w:pos="10204"/>
        </w:tabs>
        <w:rPr>
          <w:rFonts w:ascii="Times New Roman" w:eastAsia="Calibri" w:hAnsi="Times New Roman"/>
          <w:lang w:val="sr-Latn-RS"/>
        </w:rPr>
      </w:pPr>
      <w:r w:rsidRPr="009D0BAB">
        <w:rPr>
          <w:rFonts w:ascii="Times New Roman" w:eastAsia="Calibri" w:hAnsi="Times New Roman"/>
          <w:lang w:val="sr-Latn-RS"/>
        </w:rPr>
        <w:tab/>
      </w:r>
    </w:p>
    <w:p w14:paraId="1852A036" w14:textId="64C68788" w:rsidR="003C73C2" w:rsidRPr="009D0BAB" w:rsidRDefault="00CE76CA" w:rsidP="003C73C2">
      <w:pPr>
        <w:jc w:val="both"/>
        <w:rPr>
          <w:rFonts w:ascii="Times New Roman" w:eastAsia="Calibri" w:hAnsi="Times New Roman"/>
          <w:lang w:val="sr-Latn-RS"/>
        </w:rPr>
      </w:pPr>
      <w:r w:rsidRPr="009D0BAB">
        <w:rPr>
          <w:rFonts w:ascii="Times New Roman" w:eastAsia="Calibri" w:hAnsi="Times New Roman"/>
          <w:lang w:val="sr-Latn-RS"/>
        </w:rPr>
        <w:tab/>
      </w:r>
      <w:r w:rsidR="00426DD2" w:rsidRPr="009D0BAB">
        <w:rPr>
          <w:rFonts w:ascii="Times New Roman" w:eastAsia="Calibri" w:hAnsi="Times New Roman"/>
          <w:lang w:val="sr-Latn-RS"/>
        </w:rPr>
        <w:t>Prošlogodišnja promena metodologije uticala je ne samo na broj indikatora koji se koriste za praćenje 12 stubova konkurentnosti (u</w:t>
      </w:r>
      <w:r w:rsidR="00C56B11" w:rsidRPr="009D0BAB">
        <w:rPr>
          <w:rFonts w:ascii="Times New Roman" w:eastAsia="Calibri" w:hAnsi="Times New Roman"/>
          <w:lang w:val="sr-Latn-RS"/>
        </w:rPr>
        <w:t xml:space="preserve">mesto </w:t>
      </w:r>
      <w:r w:rsidR="0083080B">
        <w:rPr>
          <w:rFonts w:ascii="Times New Roman" w:eastAsia="Calibri" w:hAnsi="Times New Roman"/>
          <w:lang w:val="sr-Latn-RS"/>
        </w:rPr>
        <w:t xml:space="preserve">ranije korišćenih 114 indikatora, prošle godine je </w:t>
      </w:r>
      <w:r w:rsidR="00C56B11" w:rsidRPr="009D0BAB">
        <w:rPr>
          <w:rFonts w:ascii="Times New Roman" w:eastAsia="Calibri" w:hAnsi="Times New Roman"/>
          <w:lang w:val="sr-Latn-RS"/>
        </w:rPr>
        <w:t>upotre</w:t>
      </w:r>
      <w:r w:rsidR="00426DD2" w:rsidRPr="009D0BAB">
        <w:rPr>
          <w:rFonts w:ascii="Times New Roman" w:eastAsia="Calibri" w:hAnsi="Times New Roman"/>
          <w:lang w:val="sr-Latn-RS"/>
        </w:rPr>
        <w:t xml:space="preserve">bljeno </w:t>
      </w:r>
      <w:r w:rsidR="00C56B11" w:rsidRPr="009D0BAB">
        <w:rPr>
          <w:rFonts w:ascii="Times New Roman" w:eastAsia="Calibri" w:hAnsi="Times New Roman"/>
          <w:lang w:val="sr-Latn-RS"/>
        </w:rPr>
        <w:t>98 indikatora od čega su 64 indikatora u potpunosti novi</w:t>
      </w:r>
      <w:r w:rsidR="00426DD2" w:rsidRPr="009D0BAB">
        <w:rPr>
          <w:rFonts w:ascii="Times New Roman" w:eastAsia="Calibri" w:hAnsi="Times New Roman"/>
          <w:lang w:val="sr-Latn-RS"/>
        </w:rPr>
        <w:t>), već i na drugačiju klasifikaciju indikatora unutar stubova kao i promenu u izvoru podataka koji se koriste</w:t>
      </w:r>
      <w:r w:rsidR="00C56B11" w:rsidRPr="009D0BAB">
        <w:rPr>
          <w:rFonts w:ascii="Times New Roman" w:eastAsia="Calibri" w:hAnsi="Times New Roman"/>
          <w:lang w:val="sr-Latn-RS"/>
        </w:rPr>
        <w:t>. Promena je izvršena tako da su „meki“ indikatori koji se dobijaju na bazi Ankete privrednika (EOS) zamenjeni objektivnim pokazateljima gde god je to bilo moguće. Usled toga je uticaj indikatora percepcije na konačnu vrednost IGK smanjen sa na 30%</w:t>
      </w:r>
      <w:r w:rsidR="003A1E28" w:rsidRPr="009D0BAB">
        <w:rPr>
          <w:rFonts w:ascii="Times New Roman" w:eastAsia="Calibri" w:hAnsi="Times New Roman"/>
          <w:lang w:val="sr-Latn-RS"/>
        </w:rPr>
        <w:t xml:space="preserve"> čime je značajno povećana objektivna uporedivost IGK između zemalja</w:t>
      </w:r>
      <w:r w:rsidR="00C56B11" w:rsidRPr="009D0BAB">
        <w:rPr>
          <w:rFonts w:ascii="Times New Roman" w:eastAsia="Calibri" w:hAnsi="Times New Roman"/>
          <w:lang w:val="sr-Latn-RS"/>
        </w:rPr>
        <w:t xml:space="preserve">. </w:t>
      </w:r>
      <w:r w:rsidR="003C73C2" w:rsidRPr="009D0BAB">
        <w:rPr>
          <w:rFonts w:ascii="Times New Roman" w:eastAsia="Calibri" w:hAnsi="Times New Roman"/>
          <w:lang w:val="sr-Latn-RS"/>
        </w:rPr>
        <w:t xml:space="preserve">Za vrednosti indikatora percepcije („mekih“) primenjuje se metod ponderisanja pokretnih proseka gde na konačnu vrednost utiču i odgovori iz prethodne godine kako bi se dodatno smanjile prevelike oscilacije u vrednosti odgovora. </w:t>
      </w:r>
    </w:p>
    <w:p w14:paraId="2D3DD7C7" w14:textId="7BE227F7" w:rsidR="008450ED" w:rsidRPr="009D0BAB" w:rsidRDefault="00C56B11" w:rsidP="008450ED">
      <w:pPr>
        <w:jc w:val="both"/>
        <w:rPr>
          <w:rFonts w:ascii="Times New Roman" w:eastAsia="Calibri" w:hAnsi="Times New Roman"/>
          <w:lang w:val="sr-Latn-RS"/>
        </w:rPr>
      </w:pPr>
      <w:r w:rsidRPr="009D0BAB">
        <w:rPr>
          <w:rFonts w:ascii="Times New Roman" w:eastAsia="Calibri" w:hAnsi="Times New Roman"/>
          <w:lang w:val="sr-Latn-RS"/>
        </w:rPr>
        <w:tab/>
      </w:r>
      <w:r w:rsidR="0013296F" w:rsidRPr="009D0BAB">
        <w:rPr>
          <w:rFonts w:ascii="Times New Roman" w:eastAsia="Calibri" w:hAnsi="Times New Roman"/>
          <w:lang w:val="sr-Latn-RS"/>
        </w:rPr>
        <w:t>Od prošlogodišnjeg izveštaja napuš</w:t>
      </w:r>
      <w:r w:rsidR="009D0BAB">
        <w:rPr>
          <w:rFonts w:ascii="Times New Roman" w:eastAsia="Calibri" w:hAnsi="Times New Roman"/>
          <w:lang w:val="sr-Latn-RS"/>
        </w:rPr>
        <w:t>t</w:t>
      </w:r>
      <w:r w:rsidR="0013296F" w:rsidRPr="009D0BAB">
        <w:rPr>
          <w:rFonts w:ascii="Times New Roman" w:eastAsia="Calibri" w:hAnsi="Times New Roman"/>
          <w:lang w:val="sr-Latn-RS"/>
        </w:rPr>
        <w:t xml:space="preserve">ena je i </w:t>
      </w:r>
      <w:r w:rsidRPr="009D0BAB">
        <w:rPr>
          <w:rFonts w:ascii="Times New Roman" w:eastAsia="Calibri" w:hAnsi="Times New Roman"/>
          <w:lang w:val="sr-Latn-RS"/>
        </w:rPr>
        <w:t>metoda grupisanja privreda u faze razvoja na osnovu kojih su se primenjivali različiti ponderi</w:t>
      </w:r>
      <w:r w:rsidR="004A30E8" w:rsidRPr="009D0BAB">
        <w:rPr>
          <w:rFonts w:ascii="Times New Roman" w:eastAsia="Calibri" w:hAnsi="Times New Roman"/>
          <w:lang w:val="sr-Latn-RS"/>
        </w:rPr>
        <w:t xml:space="preserve"> za uticaj pojedinih</w:t>
      </w:r>
      <w:r w:rsidR="003A1E28" w:rsidRPr="009D0BAB">
        <w:rPr>
          <w:rFonts w:ascii="Times New Roman" w:eastAsia="Calibri" w:hAnsi="Times New Roman"/>
          <w:lang w:val="sr-Latn-RS"/>
        </w:rPr>
        <w:t xml:space="preserve"> grupa stubova na konačnu vrednost IGK</w:t>
      </w:r>
      <w:r w:rsidRPr="009D0BAB">
        <w:rPr>
          <w:rFonts w:ascii="Times New Roman" w:eastAsia="Calibri" w:hAnsi="Times New Roman"/>
          <w:lang w:val="sr-Latn-RS"/>
        </w:rPr>
        <w:t>. Indek</w:t>
      </w:r>
      <w:r w:rsidR="004A30E8" w:rsidRPr="009D0BAB">
        <w:rPr>
          <w:rFonts w:ascii="Times New Roman" w:eastAsia="Calibri" w:hAnsi="Times New Roman"/>
          <w:lang w:val="sr-Latn-RS"/>
        </w:rPr>
        <w:t>s</w:t>
      </w:r>
      <w:r w:rsidRPr="009D0BAB">
        <w:rPr>
          <w:rFonts w:ascii="Times New Roman" w:eastAsia="Calibri" w:hAnsi="Times New Roman"/>
          <w:lang w:val="sr-Latn-RS"/>
        </w:rPr>
        <w:t xml:space="preserve"> se </w:t>
      </w:r>
      <w:r w:rsidR="003A1E28" w:rsidRPr="009D0BAB">
        <w:rPr>
          <w:rFonts w:ascii="Times New Roman" w:eastAsia="Calibri" w:hAnsi="Times New Roman"/>
          <w:lang w:val="sr-Latn-RS"/>
        </w:rPr>
        <w:t xml:space="preserve">sada </w:t>
      </w:r>
      <w:r w:rsidRPr="009D0BAB">
        <w:rPr>
          <w:rFonts w:ascii="Times New Roman" w:eastAsia="Calibri" w:hAnsi="Times New Roman"/>
          <w:lang w:val="sr-Latn-RS"/>
        </w:rPr>
        <w:t>računa</w:t>
      </w:r>
      <w:r w:rsidR="00144339" w:rsidRPr="009D0BAB">
        <w:rPr>
          <w:rFonts w:ascii="Times New Roman" w:eastAsia="Calibri" w:hAnsi="Times New Roman"/>
          <w:lang w:val="sr-Latn-RS"/>
        </w:rPr>
        <w:t xml:space="preserve"> za sve privrede na isti način i konačna vrednost IKG je jednostavan prosek od 12 stubova, tako da implicitna težina svakog stuba iznosi oko 8,3% (1/12)</w:t>
      </w:r>
      <w:r w:rsidRPr="009D0BAB">
        <w:rPr>
          <w:rFonts w:ascii="Times New Roman" w:eastAsia="Calibri" w:hAnsi="Times New Roman"/>
          <w:lang w:val="sr-Latn-RS"/>
        </w:rPr>
        <w:t xml:space="preserve">. Vrednosti stubova </w:t>
      </w:r>
      <w:r w:rsidR="003818F5" w:rsidRPr="009D0BAB">
        <w:rPr>
          <w:rFonts w:ascii="Times New Roman" w:eastAsia="Calibri" w:hAnsi="Times New Roman"/>
          <w:lang w:val="sr-Latn-RS"/>
        </w:rPr>
        <w:t>konkurentnosti</w:t>
      </w:r>
      <w:r w:rsidRPr="009D0BAB">
        <w:rPr>
          <w:rFonts w:ascii="Times New Roman" w:eastAsia="Calibri" w:hAnsi="Times New Roman"/>
          <w:lang w:val="sr-Latn-RS"/>
        </w:rPr>
        <w:t xml:space="preserve"> i indikatora unutar stubova su transformisani na skalu 0-100 pri čemu je 0 najlošija vrednost dok je 100 maksimalna ocena. </w:t>
      </w:r>
      <w:r w:rsidR="008450ED" w:rsidRPr="009D0BAB">
        <w:rPr>
          <w:rFonts w:ascii="Times New Roman" w:eastAsia="Calibri" w:hAnsi="Times New Roman"/>
          <w:lang w:val="sr-Latn-RS"/>
        </w:rPr>
        <w:t>Obrazloženje je da, kako se nastavlja 4IR, svi faktori konkurentnosti imaju sličan uticaj na konkurentsku poziciju privrede, bez obzira na nivo dohotka</w:t>
      </w:r>
      <w:r w:rsidR="003C73C2" w:rsidRPr="009D0BAB">
        <w:rPr>
          <w:rFonts w:ascii="Times New Roman" w:eastAsia="Calibri" w:hAnsi="Times New Roman"/>
          <w:lang w:val="sr-Latn-RS"/>
        </w:rPr>
        <w:t xml:space="preserve"> tako da se svaki stub se može smatrati potencijalnim prioritetom</w:t>
      </w:r>
      <w:r w:rsidR="008450ED" w:rsidRPr="009D0BAB">
        <w:rPr>
          <w:rFonts w:ascii="Times New Roman" w:eastAsia="Calibri" w:hAnsi="Times New Roman"/>
          <w:lang w:val="sr-Latn-RS"/>
        </w:rPr>
        <w:t xml:space="preserve">. Automatizacija ima potencijal da uspori razvoj zemlje koja se oslanja na niske troškove rada u proizvodnji. Rodrick (2015) je, na primer, pokazao da je privredni rast u mnogim zemljama u razvoju baziran na sektoru usluga, dok nove industrijske zemlje počinju da se deindustrijalizuju mnogo ranije nego zapadne zemlje. Istovremeno, IKT smanjuju informacione barijere i </w:t>
      </w:r>
      <w:r w:rsidR="003818F5" w:rsidRPr="009D0BAB">
        <w:rPr>
          <w:rFonts w:ascii="Times New Roman" w:eastAsia="Calibri" w:hAnsi="Times New Roman"/>
          <w:lang w:val="sr-Latn-RS"/>
        </w:rPr>
        <w:t>omogućava</w:t>
      </w:r>
      <w:r w:rsidR="008450ED" w:rsidRPr="009D0BAB">
        <w:rPr>
          <w:rFonts w:ascii="Times New Roman" w:eastAsia="Calibri" w:hAnsi="Times New Roman"/>
          <w:lang w:val="sr-Latn-RS"/>
        </w:rPr>
        <w:t xml:space="preserve"> brži transfer ideja, tehnologija i nematerijalnih proizvoda širom </w:t>
      </w:r>
      <w:r w:rsidR="003818F5" w:rsidRPr="009D0BAB">
        <w:rPr>
          <w:rFonts w:ascii="Times New Roman" w:eastAsia="Calibri" w:hAnsi="Times New Roman"/>
          <w:lang w:val="sr-Latn-RS"/>
        </w:rPr>
        <w:t>sveta</w:t>
      </w:r>
      <w:r w:rsidR="008450ED" w:rsidRPr="009D0BAB">
        <w:rPr>
          <w:rFonts w:ascii="Times New Roman" w:eastAsia="Calibri" w:hAnsi="Times New Roman"/>
          <w:lang w:val="sr-Latn-RS"/>
        </w:rPr>
        <w:t xml:space="preserve">, </w:t>
      </w:r>
      <w:r w:rsidR="003818F5" w:rsidRPr="009D0BAB">
        <w:rPr>
          <w:rFonts w:ascii="Times New Roman" w:eastAsia="Calibri" w:hAnsi="Times New Roman"/>
          <w:lang w:val="sr-Latn-RS"/>
        </w:rPr>
        <w:t>otvarajući</w:t>
      </w:r>
      <w:r w:rsidR="008450ED" w:rsidRPr="009D0BAB">
        <w:rPr>
          <w:rFonts w:ascii="Times New Roman" w:eastAsia="Calibri" w:hAnsi="Times New Roman"/>
          <w:lang w:val="sr-Latn-RS"/>
        </w:rPr>
        <w:t xml:space="preserve"> time nove </w:t>
      </w:r>
      <w:r w:rsidR="003818F5" w:rsidRPr="009D0BAB">
        <w:rPr>
          <w:rFonts w:ascii="Times New Roman" w:eastAsia="Calibri" w:hAnsi="Times New Roman"/>
          <w:lang w:val="sr-Latn-RS"/>
        </w:rPr>
        <w:t>mogućnosti</w:t>
      </w:r>
      <w:r w:rsidR="008450ED" w:rsidRPr="009D0BAB">
        <w:rPr>
          <w:rFonts w:ascii="Times New Roman" w:eastAsia="Calibri" w:hAnsi="Times New Roman"/>
          <w:lang w:val="sr-Latn-RS"/>
        </w:rPr>
        <w:t xml:space="preserve"> za ekonomije u razvoju. Na bazi ovih saznanja novi IGK v4.0 ne određuje jedinstveni put kojim se može ostvariti prosperitet, već nagrađuje </w:t>
      </w:r>
      <w:r w:rsidR="003818F5" w:rsidRPr="009D0BAB">
        <w:rPr>
          <w:rFonts w:ascii="Times New Roman" w:eastAsia="Calibri" w:hAnsi="Times New Roman"/>
          <w:lang w:val="sr-Latn-RS"/>
        </w:rPr>
        <w:t>zemalja</w:t>
      </w:r>
      <w:r w:rsidR="008450ED" w:rsidRPr="009D0BAB">
        <w:rPr>
          <w:rFonts w:ascii="Times New Roman" w:eastAsia="Calibri" w:hAnsi="Times New Roman"/>
          <w:lang w:val="sr-Latn-RS"/>
        </w:rPr>
        <w:t xml:space="preserve"> koje ostvaruju napredak kroz revolutivne promene i kažnjava one koji zanemaruju bilo koji aspekt konkurentnosti, bez obzira na fazu razvoja.</w:t>
      </w:r>
    </w:p>
    <w:p w14:paraId="6ED114E6" w14:textId="282AAABC" w:rsidR="00955450" w:rsidRPr="009D0BAB" w:rsidRDefault="008C523C" w:rsidP="00955450">
      <w:pPr>
        <w:jc w:val="both"/>
        <w:rPr>
          <w:rFonts w:ascii="Times New Roman" w:eastAsia="Calibri" w:hAnsi="Times New Roman"/>
          <w:lang w:val="sr-Latn-RS"/>
        </w:rPr>
      </w:pPr>
      <w:r w:rsidRPr="009D0BAB">
        <w:rPr>
          <w:rFonts w:ascii="Times New Roman" w:eastAsia="Calibri" w:hAnsi="Times New Roman"/>
          <w:b/>
          <w:color w:val="FF0000"/>
          <w:lang w:val="sr-Latn-RS"/>
        </w:rPr>
        <w:lastRenderedPageBreak/>
        <w:tab/>
      </w:r>
      <w:r w:rsidR="00C56B11" w:rsidRPr="009D0BAB">
        <w:rPr>
          <w:rFonts w:ascii="Times New Roman" w:eastAsia="Calibri" w:hAnsi="Times New Roman"/>
          <w:b/>
          <w:color w:val="FF0000"/>
          <w:lang w:val="sr-Latn-RS"/>
        </w:rPr>
        <w:t>Usled promena metodologije</w:t>
      </w:r>
      <w:r w:rsidR="00FA56A8" w:rsidRPr="009D0BAB">
        <w:rPr>
          <w:rFonts w:ascii="Times New Roman" w:eastAsia="Calibri" w:hAnsi="Times New Roman"/>
          <w:b/>
          <w:color w:val="FF0000"/>
          <w:lang w:val="sr-Latn-RS"/>
        </w:rPr>
        <w:t xml:space="preserve"> koja je izvršena u načinu računanja</w:t>
      </w:r>
      <w:r w:rsidR="00C56B11" w:rsidRPr="009D0BAB">
        <w:rPr>
          <w:rFonts w:ascii="Times New Roman" w:eastAsia="Calibri" w:hAnsi="Times New Roman"/>
          <w:b/>
          <w:color w:val="FF0000"/>
          <w:lang w:val="sr-Latn-RS"/>
        </w:rPr>
        <w:t xml:space="preserve"> </w:t>
      </w:r>
      <w:r w:rsidR="00FA56A8" w:rsidRPr="009D0BAB">
        <w:rPr>
          <w:rFonts w:ascii="Times New Roman" w:eastAsia="Calibri" w:hAnsi="Times New Roman"/>
          <w:b/>
          <w:color w:val="FF0000"/>
          <w:lang w:val="sr-Latn-RS"/>
        </w:rPr>
        <w:t>ind</w:t>
      </w:r>
      <w:r w:rsidR="004A30E8" w:rsidRPr="009D0BAB">
        <w:rPr>
          <w:rFonts w:ascii="Times New Roman" w:eastAsia="Calibri" w:hAnsi="Times New Roman"/>
          <w:b/>
          <w:color w:val="FF0000"/>
          <w:lang w:val="sr-Latn-RS"/>
        </w:rPr>
        <w:t>e</w:t>
      </w:r>
      <w:r w:rsidR="00FA56A8" w:rsidRPr="009D0BAB">
        <w:rPr>
          <w:rFonts w:ascii="Times New Roman" w:eastAsia="Calibri" w:hAnsi="Times New Roman"/>
          <w:b/>
          <w:color w:val="FF0000"/>
          <w:lang w:val="sr-Latn-RS"/>
        </w:rPr>
        <w:t>ksa</w:t>
      </w:r>
      <w:r w:rsidR="00C56B11" w:rsidRPr="009D0BAB">
        <w:rPr>
          <w:rFonts w:ascii="Times New Roman" w:eastAsia="Calibri" w:hAnsi="Times New Roman"/>
          <w:b/>
          <w:color w:val="FF0000"/>
          <w:lang w:val="sr-Latn-RS"/>
        </w:rPr>
        <w:t xml:space="preserve"> </w:t>
      </w:r>
      <w:r w:rsidR="00FA56A8" w:rsidRPr="009D0BAB">
        <w:rPr>
          <w:rFonts w:ascii="Times New Roman" w:eastAsia="Calibri" w:hAnsi="Times New Roman"/>
          <w:b/>
          <w:color w:val="FF0000"/>
          <w:lang w:val="sr-Latn-RS"/>
        </w:rPr>
        <w:t xml:space="preserve">i nove strukture stubova, vrednost IGK </w:t>
      </w:r>
      <w:r w:rsidR="00C56B11" w:rsidRPr="009D0BAB">
        <w:rPr>
          <w:rFonts w:ascii="Times New Roman" w:eastAsia="Calibri" w:hAnsi="Times New Roman"/>
          <w:b/>
          <w:color w:val="FF0000"/>
          <w:lang w:val="sr-Latn-RS"/>
        </w:rPr>
        <w:t xml:space="preserve">kao i ranga nije uporediva sa prethodnim izdanjima izveštaja SEF-a!!! </w:t>
      </w:r>
      <w:r w:rsidR="00C56B11" w:rsidRPr="009D0BAB">
        <w:rPr>
          <w:rFonts w:ascii="Times New Roman" w:eastAsia="Calibri" w:hAnsi="Times New Roman"/>
          <w:lang w:val="sr-Latn-RS"/>
        </w:rPr>
        <w:t>Uporedivos</w:t>
      </w:r>
      <w:r w:rsidR="00C02559" w:rsidRPr="009D0BAB">
        <w:rPr>
          <w:rFonts w:ascii="Times New Roman" w:eastAsia="Calibri" w:hAnsi="Times New Roman"/>
          <w:lang w:val="sr-Latn-RS"/>
        </w:rPr>
        <w:t>t</w:t>
      </w:r>
      <w:r w:rsidR="00C56B11" w:rsidRPr="009D0BAB">
        <w:rPr>
          <w:rFonts w:ascii="Times New Roman" w:eastAsia="Calibri" w:hAnsi="Times New Roman"/>
          <w:lang w:val="sr-Latn-RS"/>
        </w:rPr>
        <w:t xml:space="preserve"> je moguća samo sa </w:t>
      </w:r>
      <w:r w:rsidR="009D0BAB" w:rsidRPr="009D0BAB">
        <w:rPr>
          <w:rFonts w:ascii="Times New Roman" w:eastAsia="Calibri" w:hAnsi="Times New Roman"/>
          <w:lang w:val="sr-Latn-RS"/>
        </w:rPr>
        <w:t>vrednostima</w:t>
      </w:r>
      <w:r w:rsidR="0013296F" w:rsidRPr="009D0BAB">
        <w:rPr>
          <w:rFonts w:ascii="Times New Roman" w:eastAsia="Calibri" w:hAnsi="Times New Roman"/>
          <w:lang w:val="sr-Latn-RS"/>
        </w:rPr>
        <w:t xml:space="preserve"> </w:t>
      </w:r>
      <w:r w:rsidR="00FA56A8" w:rsidRPr="009D0BAB">
        <w:rPr>
          <w:rFonts w:ascii="Times New Roman" w:eastAsia="Calibri" w:hAnsi="Times New Roman"/>
          <w:lang w:val="sr-Latn-RS"/>
        </w:rPr>
        <w:t xml:space="preserve">IGK </w:t>
      </w:r>
      <w:r w:rsidR="0013296F" w:rsidRPr="009D0BAB">
        <w:rPr>
          <w:rFonts w:ascii="Times New Roman" w:eastAsia="Calibri" w:hAnsi="Times New Roman"/>
          <w:lang w:val="sr-Latn-RS"/>
        </w:rPr>
        <w:t xml:space="preserve">iz prošlogodišnjeg </w:t>
      </w:r>
      <w:r w:rsidR="009D0BAB" w:rsidRPr="009D0BAB">
        <w:rPr>
          <w:rFonts w:ascii="Times New Roman" w:eastAsia="Calibri" w:hAnsi="Times New Roman"/>
          <w:lang w:val="sr-Latn-RS"/>
        </w:rPr>
        <w:t>izveštaja</w:t>
      </w:r>
      <w:r w:rsidR="0013296F" w:rsidRPr="009D0BAB">
        <w:rPr>
          <w:rFonts w:ascii="Times New Roman" w:eastAsia="Calibri" w:hAnsi="Times New Roman"/>
          <w:lang w:val="sr-Latn-RS"/>
        </w:rPr>
        <w:t xml:space="preserve"> za 2018. </w:t>
      </w:r>
      <w:r w:rsidR="009D0BAB" w:rsidRPr="009D0BAB">
        <w:rPr>
          <w:rFonts w:ascii="Times New Roman" w:eastAsia="Calibri" w:hAnsi="Times New Roman"/>
          <w:lang w:val="sr-Latn-RS"/>
        </w:rPr>
        <w:t>godinu</w:t>
      </w:r>
      <w:r w:rsidR="0013296F" w:rsidRPr="009D0BAB">
        <w:rPr>
          <w:rFonts w:ascii="Times New Roman" w:eastAsia="Calibri" w:hAnsi="Times New Roman"/>
          <w:lang w:val="sr-Latn-RS"/>
        </w:rPr>
        <w:t xml:space="preserve"> kao i preračunatih vrednosti iz </w:t>
      </w:r>
      <w:r w:rsidR="00C56B11" w:rsidRPr="009D0BAB">
        <w:rPr>
          <w:rFonts w:ascii="Times New Roman" w:eastAsia="Calibri" w:hAnsi="Times New Roman"/>
          <w:lang w:val="sr-Latn-RS"/>
        </w:rPr>
        <w:t>2017. godine</w:t>
      </w:r>
      <w:r w:rsidR="0013296F" w:rsidRPr="009D0BAB">
        <w:rPr>
          <w:rFonts w:ascii="Times New Roman" w:eastAsia="Calibri" w:hAnsi="Times New Roman"/>
          <w:lang w:val="sr-Latn-RS"/>
        </w:rPr>
        <w:t xml:space="preserve"> koji su </w:t>
      </w:r>
      <w:r w:rsidR="009D0BAB" w:rsidRPr="009D0BAB">
        <w:rPr>
          <w:rFonts w:ascii="Times New Roman" w:eastAsia="Calibri" w:hAnsi="Times New Roman"/>
          <w:lang w:val="sr-Latn-RS"/>
        </w:rPr>
        <w:t>objavljeni</w:t>
      </w:r>
      <w:r w:rsidR="0013296F" w:rsidRPr="009D0BAB">
        <w:rPr>
          <w:rFonts w:ascii="Times New Roman" w:eastAsia="Calibri" w:hAnsi="Times New Roman"/>
          <w:lang w:val="sr-Latn-RS"/>
        </w:rPr>
        <w:t xml:space="preserve"> u izveštaju iz 2018. godine kako bi se dobila barem jedna vremenska tačka za praćenje promena u 2018. godini</w:t>
      </w:r>
      <w:r w:rsidR="00FA56A8" w:rsidRPr="009D0BAB">
        <w:rPr>
          <w:rFonts w:ascii="Times New Roman" w:eastAsia="Calibri" w:hAnsi="Times New Roman"/>
          <w:lang w:val="sr-Latn-RS"/>
        </w:rPr>
        <w:t>.</w:t>
      </w:r>
      <w:r w:rsidRPr="009D0BAB">
        <w:rPr>
          <w:rFonts w:ascii="Times New Roman" w:eastAsia="Calibri" w:hAnsi="Times New Roman"/>
          <w:lang w:val="sr-Latn-RS"/>
        </w:rPr>
        <w:t xml:space="preserve"> </w:t>
      </w:r>
      <w:r w:rsidR="00FA56A8" w:rsidRPr="009D0BAB">
        <w:rPr>
          <w:rFonts w:ascii="Times New Roman" w:eastAsia="Calibri" w:hAnsi="Times New Roman"/>
          <w:lang w:val="sr-Latn-RS"/>
        </w:rPr>
        <w:t xml:space="preserve">Kao i u prethodnim verzijama indeksa, IGK v4.0 posmatra </w:t>
      </w:r>
      <w:r w:rsidR="003818F5" w:rsidRPr="009D0BAB">
        <w:rPr>
          <w:rFonts w:ascii="Times New Roman" w:eastAsia="Calibri" w:hAnsi="Times New Roman"/>
          <w:lang w:val="sr-Latn-RS"/>
        </w:rPr>
        <w:t>konkurentnost</w:t>
      </w:r>
      <w:r w:rsidR="00FA56A8" w:rsidRPr="009D0BAB">
        <w:rPr>
          <w:rFonts w:ascii="Times New Roman" w:eastAsia="Calibri" w:hAnsi="Times New Roman"/>
          <w:lang w:val="sr-Latn-RS"/>
        </w:rPr>
        <w:t xml:space="preserve"> privreda kroz faktore koji su ključni faktori produktivnosti, što se smatra najvažnijom determinantom dugoročnog privrednog rasta. Uzročna veza od produktivnosti do privre</w:t>
      </w:r>
      <w:r w:rsidR="004A30E8" w:rsidRPr="009D0BAB">
        <w:rPr>
          <w:rFonts w:ascii="Times New Roman" w:eastAsia="Calibri" w:hAnsi="Times New Roman"/>
          <w:lang w:val="sr-Latn-RS"/>
        </w:rPr>
        <w:t>d</w:t>
      </w:r>
      <w:r w:rsidR="00FA56A8" w:rsidRPr="009D0BAB">
        <w:rPr>
          <w:rFonts w:ascii="Times New Roman" w:eastAsia="Calibri" w:hAnsi="Times New Roman"/>
          <w:lang w:val="sr-Latn-RS"/>
        </w:rPr>
        <w:t>nog rasta i povećanja prihoda je čvrsto utemeljena u teoriji i utvrđena je empirijski.</w:t>
      </w:r>
      <w:r w:rsidR="00FA56A8" w:rsidRPr="009D0BAB">
        <w:rPr>
          <w:rFonts w:ascii="Times New Roman" w:eastAsia="Calibri" w:hAnsi="Times New Roman"/>
          <w:b/>
          <w:lang w:val="sr-Latn-RS"/>
        </w:rPr>
        <w:t xml:space="preserve"> </w:t>
      </w:r>
      <w:r w:rsidR="00FA56A8" w:rsidRPr="009D0BAB">
        <w:rPr>
          <w:rFonts w:ascii="Times New Roman" w:eastAsia="Calibri" w:hAnsi="Times New Roman"/>
          <w:lang w:val="sr-Latn-RS"/>
        </w:rPr>
        <w:t>Indikatori koji prate performan</w:t>
      </w:r>
      <w:r w:rsidR="00144339" w:rsidRPr="009D0BAB">
        <w:rPr>
          <w:rFonts w:ascii="Times New Roman" w:eastAsia="Calibri" w:hAnsi="Times New Roman"/>
          <w:lang w:val="sr-Latn-RS"/>
        </w:rPr>
        <w:t>s</w:t>
      </w:r>
      <w:r w:rsidR="00FA56A8" w:rsidRPr="009D0BAB">
        <w:rPr>
          <w:rFonts w:ascii="Times New Roman" w:eastAsia="Calibri" w:hAnsi="Times New Roman"/>
          <w:lang w:val="sr-Latn-RS"/>
        </w:rPr>
        <w:t xml:space="preserve">e </w:t>
      </w:r>
      <w:r w:rsidR="003818F5" w:rsidRPr="009D0BAB">
        <w:rPr>
          <w:rFonts w:ascii="Times New Roman" w:eastAsia="Calibri" w:hAnsi="Times New Roman"/>
          <w:lang w:val="sr-Latn-RS"/>
        </w:rPr>
        <w:t>konkurentnosti</w:t>
      </w:r>
      <w:r w:rsidR="00FA56A8" w:rsidRPr="009D0BAB">
        <w:rPr>
          <w:rFonts w:ascii="Times New Roman" w:eastAsia="Calibri" w:hAnsi="Times New Roman"/>
          <w:lang w:val="sr-Latn-RS"/>
        </w:rPr>
        <w:t xml:space="preserve"> u novom IGK v4.0 objašnjavaju više od 80% varijacija u nivou prihoda i 70% varijacija u dugoročnom rast</w:t>
      </w:r>
      <w:r w:rsidR="004A30E8" w:rsidRPr="009D0BAB">
        <w:rPr>
          <w:rFonts w:ascii="Times New Roman" w:eastAsia="Calibri" w:hAnsi="Times New Roman"/>
          <w:lang w:val="sr-Latn-RS"/>
        </w:rPr>
        <w:t>u</w:t>
      </w:r>
      <w:r w:rsidR="00FA56A8" w:rsidRPr="009D0BAB">
        <w:rPr>
          <w:rFonts w:ascii="Times New Roman" w:eastAsia="Calibri" w:hAnsi="Times New Roman"/>
          <w:lang w:val="sr-Latn-RS"/>
        </w:rPr>
        <w:t xml:space="preserve"> u analiziranim privredama. Novi IGK v4.0 </w:t>
      </w:r>
      <w:r w:rsidR="003818F5" w:rsidRPr="009D0BAB">
        <w:rPr>
          <w:rFonts w:ascii="Times New Roman" w:eastAsia="Calibri" w:hAnsi="Times New Roman"/>
          <w:lang w:val="sr-Latn-RS"/>
        </w:rPr>
        <w:t>strukturiran</w:t>
      </w:r>
      <w:r w:rsidR="00FA56A8" w:rsidRPr="009D0BAB">
        <w:rPr>
          <w:rFonts w:ascii="Times New Roman" w:eastAsia="Calibri" w:hAnsi="Times New Roman"/>
          <w:lang w:val="sr-Latn-RS"/>
        </w:rPr>
        <w:t xml:space="preserve"> je kroz 12 glavnih pokretača produktivnosti ili „stubova“ (Slika 2), čiji će se uticaj na privre</w:t>
      </w:r>
      <w:r w:rsidR="004A30E8" w:rsidRPr="009D0BAB">
        <w:rPr>
          <w:rFonts w:ascii="Times New Roman" w:eastAsia="Calibri" w:hAnsi="Times New Roman"/>
          <w:lang w:val="sr-Latn-RS"/>
        </w:rPr>
        <w:t>d</w:t>
      </w:r>
      <w:r w:rsidR="00FA56A8" w:rsidRPr="009D0BAB">
        <w:rPr>
          <w:rFonts w:ascii="Times New Roman" w:eastAsia="Calibri" w:hAnsi="Times New Roman"/>
          <w:lang w:val="sr-Latn-RS"/>
        </w:rPr>
        <w:t xml:space="preserve">ni rast povećavati </w:t>
      </w:r>
      <w:r w:rsidR="0068151A" w:rsidRPr="009D0BAB">
        <w:rPr>
          <w:rFonts w:ascii="Times New Roman" w:eastAsia="Calibri" w:hAnsi="Times New Roman"/>
          <w:lang w:val="sr-Latn-RS"/>
        </w:rPr>
        <w:t xml:space="preserve">sa širenjem efekata četvrte industrijske revolucije (4IR). Stubovi su za razliku od prethodne metodologije sada grupisani u četiri srodne kategorije: </w:t>
      </w:r>
      <w:r w:rsidR="009D0BAB">
        <w:rPr>
          <w:rFonts w:ascii="Times New Roman" w:eastAsia="Calibri" w:hAnsi="Times New Roman"/>
          <w:lang w:val="sr-Latn-RS"/>
        </w:rPr>
        <w:t>Podržavajuće</w:t>
      </w:r>
      <w:r w:rsidR="0068151A" w:rsidRPr="009D0BAB">
        <w:rPr>
          <w:rFonts w:ascii="Times New Roman" w:eastAsia="Calibri" w:hAnsi="Times New Roman"/>
          <w:lang w:val="sr-Latn-RS"/>
        </w:rPr>
        <w:t xml:space="preserve"> okruženje, Ljudski kapital, Tržišta i Ekosistem inovacija.</w:t>
      </w:r>
      <w:r w:rsidR="00144339" w:rsidRPr="009D0BAB">
        <w:rPr>
          <w:rFonts w:ascii="Times New Roman" w:eastAsia="Calibri" w:hAnsi="Times New Roman"/>
          <w:lang w:val="sr-Latn-RS"/>
        </w:rPr>
        <w:t xml:space="preserve"> Ove četiri kategorije koriste se samo u svrhe prezentacije i ne utiču na način kalkulacije IGK.</w:t>
      </w:r>
      <w:r w:rsidR="00955450" w:rsidRPr="009D0BAB">
        <w:rPr>
          <w:rFonts w:ascii="Times New Roman" w:eastAsia="Calibri" w:hAnsi="Times New Roman"/>
          <w:lang w:val="sr-Latn-RS"/>
        </w:rPr>
        <w:t xml:space="preserve"> </w:t>
      </w:r>
    </w:p>
    <w:p w14:paraId="3053F208" w14:textId="77777777" w:rsidR="00DF3D69" w:rsidRPr="009D0BAB" w:rsidRDefault="00DF3D69" w:rsidP="0083080B">
      <w:pPr>
        <w:ind w:firstLine="708"/>
        <w:jc w:val="both"/>
        <w:rPr>
          <w:rFonts w:ascii="Times New Roman" w:eastAsia="Calibri" w:hAnsi="Times New Roman"/>
          <w:lang w:val="sr-Latn-RS"/>
        </w:rPr>
      </w:pPr>
      <w:r w:rsidRPr="009D0BAB">
        <w:rPr>
          <w:rFonts w:ascii="Times New Roman" w:eastAsia="Calibri" w:hAnsi="Times New Roman"/>
          <w:lang w:val="sr-Latn-RS"/>
        </w:rPr>
        <w:t xml:space="preserve">Osnovna ideja iza promene metodologije vezana je sve veći uticaj IKT na privredni razvoj i činjenicu da transfer znanja i tehnologija može da smanji vreme koje je nerazvijenim privredama potrebno da bi smanjile zaostajanje za razvijenim privredama. Ipak, na osnovu ovogodišnjih podataka zaključuje se da je za ozbiljniji primene IKT ali i podsticanja primene inovativnih tehnologa potrebno obezbediti kombinaciju različitih faktora koji međusobno nisu supstitutivni (efikasna administracije, fizička infrastruktura, pozitivan stav prema preduzetničkom ponašanju, ljudski kapital, podsticajne institucije, …). Usled toga, samo je mali broj zemalja uspeo da obezbedi odgovarajuće uslove brži razvoj i primenu inovativnih tehnologija. </w:t>
      </w:r>
    </w:p>
    <w:p w14:paraId="76DF27AF" w14:textId="5F7549BE" w:rsidR="0013219D" w:rsidRPr="009D0BAB" w:rsidRDefault="0034127F" w:rsidP="00955450">
      <w:pPr>
        <w:jc w:val="both"/>
        <w:rPr>
          <w:rFonts w:ascii="Times New Roman" w:eastAsia="Calibri" w:hAnsi="Times New Roman"/>
          <w:lang w:val="sr-Latn-RS"/>
        </w:rPr>
      </w:pPr>
      <w:r w:rsidRPr="009D0BAB">
        <w:rPr>
          <w:rFonts w:ascii="Times New Roman" w:eastAsia="Calibri" w:hAnsi="Times New Roman"/>
          <w:lang w:val="sr-Latn-RS"/>
        </w:rPr>
        <w:tab/>
        <w:t xml:space="preserve">Za razliku od prošle godine kada </w:t>
      </w:r>
      <w:r w:rsidR="0013219D" w:rsidRPr="009D0BAB">
        <w:rPr>
          <w:rFonts w:ascii="Times New Roman" w:eastAsia="Calibri" w:hAnsi="Times New Roman"/>
          <w:lang w:val="sr-Latn-RS"/>
        </w:rPr>
        <w:t>je stub konkurentnosti Institucije bio predstavljen kroz sedam podstubova u koje je bilo grupisano 20 indikatora kvaliteta institucija, u ovogodišnjem izveštaju je dodata nova osma dimenzija „</w:t>
      </w:r>
      <w:r w:rsidR="009D0BAB" w:rsidRPr="009D0BAB">
        <w:rPr>
          <w:rFonts w:ascii="Times New Roman" w:eastAsia="Calibri" w:hAnsi="Times New Roman"/>
          <w:lang w:val="sr-Latn-RS"/>
        </w:rPr>
        <w:t>Orijentisanost</w:t>
      </w:r>
      <w:r w:rsidR="0013219D" w:rsidRPr="009D0BAB">
        <w:rPr>
          <w:rFonts w:ascii="Times New Roman" w:eastAsia="Calibri" w:hAnsi="Times New Roman"/>
          <w:lang w:val="sr-Latn-RS"/>
        </w:rPr>
        <w:t xml:space="preserve"> vlasti ka budućnosti“. U prošlogodišnjem izveštaju ovaj aspekt kvaliteta institucija je bio obuhvaćen putem istoimenog indikatora dok je u ovogodišnjem izveštaju postao zaseban podstub </w:t>
      </w:r>
      <w:r w:rsidR="000D10F0" w:rsidRPr="009D0BAB">
        <w:rPr>
          <w:rFonts w:ascii="Times New Roman" w:eastAsia="Calibri" w:hAnsi="Times New Roman"/>
          <w:lang w:val="sr-Latn-RS"/>
        </w:rPr>
        <w:t xml:space="preserve">koji se računa kao prosečna vrednost sedam indikatora. Od ovih sedam indikatora četiri su četiri se računaju na osnovu ankete privrednika dok su preostala tri preuzeta iz međunarodnih baza koje prate napredak u aspektima vlasti koji se regulacije u oblasti životne sredine, obnovljivih resursa i energetske efikasnosti. </w:t>
      </w:r>
      <w:r w:rsidR="001910BA">
        <w:rPr>
          <w:rFonts w:ascii="Times New Roman" w:eastAsia="Calibri" w:hAnsi="Times New Roman"/>
          <w:lang w:val="sr-Latn-RS"/>
        </w:rPr>
        <w:t>Usled toga je ukupan broj indikatora koji se koriste za praćenje stuba Institucija povećan na 26, dok je na nivou ukupnog IGK broj indikatora koji se koriste računajući i ostale promene povećan sa 98 na 103.</w:t>
      </w:r>
    </w:p>
    <w:p w14:paraId="111A1480" w14:textId="58A02FEC" w:rsidR="000D10F0" w:rsidRPr="009D0BAB" w:rsidRDefault="000D10F0" w:rsidP="00955450">
      <w:pPr>
        <w:jc w:val="both"/>
        <w:rPr>
          <w:rFonts w:ascii="Times New Roman" w:eastAsia="Calibri" w:hAnsi="Times New Roman"/>
          <w:lang w:val="sr-Latn-RS"/>
        </w:rPr>
      </w:pPr>
      <w:r w:rsidRPr="009D0BAB">
        <w:rPr>
          <w:rFonts w:ascii="Times New Roman" w:eastAsia="Calibri" w:hAnsi="Times New Roman"/>
          <w:lang w:val="sr-Latn-RS"/>
        </w:rPr>
        <w:tab/>
        <w:t>Izvor za indikator transparentnosti budžeta koji se pratio unutar stuba Institucije sada se prati na osnovu Indeksa otvorenosti budžeta</w:t>
      </w:r>
      <w:r w:rsidRPr="009D0BAB">
        <w:rPr>
          <w:rStyle w:val="FootnoteReference"/>
          <w:rFonts w:ascii="Times New Roman" w:eastAsia="Calibri" w:hAnsi="Times New Roman"/>
          <w:lang w:val="sr-Latn-RS"/>
        </w:rPr>
        <w:footnoteReference w:id="5"/>
      </w:r>
      <w:r w:rsidRPr="009D0BAB">
        <w:rPr>
          <w:rFonts w:ascii="Times New Roman" w:eastAsia="Calibri" w:hAnsi="Times New Roman"/>
          <w:lang w:val="sr-Latn-RS"/>
        </w:rPr>
        <w:t xml:space="preserve"> pošto je </w:t>
      </w:r>
      <w:r w:rsidR="009D0BAB" w:rsidRPr="009D0BAB">
        <w:rPr>
          <w:rFonts w:ascii="Times New Roman" w:eastAsia="Calibri" w:hAnsi="Times New Roman"/>
          <w:lang w:val="sr-Latn-RS"/>
        </w:rPr>
        <w:t>prethodni</w:t>
      </w:r>
      <w:r w:rsidRPr="009D0BAB">
        <w:rPr>
          <w:rFonts w:ascii="Times New Roman" w:eastAsia="Calibri" w:hAnsi="Times New Roman"/>
          <w:lang w:val="sr-Latn-RS"/>
        </w:rPr>
        <w:t xml:space="preserve"> indikator prestao da se objavljuje.</w:t>
      </w:r>
    </w:p>
    <w:p w14:paraId="52682447" w14:textId="14B614BE" w:rsidR="000D10F0" w:rsidRPr="009D0BAB" w:rsidRDefault="000D10F0" w:rsidP="00955450">
      <w:pPr>
        <w:jc w:val="both"/>
        <w:rPr>
          <w:rFonts w:ascii="Times New Roman" w:eastAsia="Calibri" w:hAnsi="Times New Roman"/>
          <w:lang w:val="sr-Latn-RS"/>
        </w:rPr>
      </w:pPr>
      <w:r w:rsidRPr="009D0BAB">
        <w:rPr>
          <w:rFonts w:ascii="Times New Roman" w:eastAsia="Calibri" w:hAnsi="Times New Roman"/>
          <w:lang w:val="sr-Latn-RS"/>
        </w:rPr>
        <w:tab/>
        <w:t xml:space="preserve">Unutar stuba konkurentnosti </w:t>
      </w:r>
      <w:r w:rsidR="009D0BAB" w:rsidRPr="009D0BAB">
        <w:rPr>
          <w:rFonts w:ascii="Times New Roman" w:eastAsia="Calibri" w:hAnsi="Times New Roman"/>
          <w:lang w:val="sr-Latn-RS"/>
        </w:rPr>
        <w:t>Tržište</w:t>
      </w:r>
      <w:r w:rsidRPr="009D0BAB">
        <w:rPr>
          <w:rFonts w:ascii="Times New Roman" w:eastAsia="Calibri" w:hAnsi="Times New Roman"/>
          <w:lang w:val="sr-Latn-RS"/>
        </w:rPr>
        <w:t xml:space="preserve"> dobara više se ne koristi Indeks restriktivnosti trgovine uslugama pošto je promenjena metodologije obračuna ovog indeksa uz izostanak obračuna vrednosti za prošlu godinu. Time je onemogućeno upoređivanje između zemalja i između godina ali SEF naglašava da to ne znači da tržište usluga nije bitan element konkurentnosti. </w:t>
      </w:r>
    </w:p>
    <w:p w14:paraId="7567ECEB" w14:textId="2FD1D299" w:rsidR="0013296F" w:rsidRPr="009D0BAB" w:rsidRDefault="000D10F0" w:rsidP="00955450">
      <w:pPr>
        <w:jc w:val="both"/>
        <w:rPr>
          <w:rFonts w:ascii="Times New Roman" w:eastAsia="Calibri" w:hAnsi="Times New Roman"/>
          <w:lang w:val="sr-Latn-RS"/>
        </w:rPr>
      </w:pPr>
      <w:r w:rsidRPr="009D0BAB">
        <w:rPr>
          <w:rFonts w:ascii="Times New Roman" w:eastAsia="Calibri" w:hAnsi="Times New Roman"/>
          <w:lang w:val="sr-Latn-RS"/>
        </w:rPr>
        <w:tab/>
        <w:t xml:space="preserve">Na kraju u okviru stuba </w:t>
      </w:r>
      <w:r w:rsidR="009D0BAB" w:rsidRPr="009D0BAB">
        <w:rPr>
          <w:rFonts w:ascii="Times New Roman" w:eastAsia="Calibri" w:hAnsi="Times New Roman"/>
          <w:lang w:val="sr-Latn-RS"/>
        </w:rPr>
        <w:t>Tržište</w:t>
      </w:r>
      <w:r w:rsidRPr="009D0BAB">
        <w:rPr>
          <w:rFonts w:ascii="Times New Roman" w:eastAsia="Calibri" w:hAnsi="Times New Roman"/>
          <w:lang w:val="sr-Latn-RS"/>
        </w:rPr>
        <w:t xml:space="preserve"> rada indikator unutrašnjem mobilnosti rada se ne obračunava za </w:t>
      </w:r>
      <w:r w:rsidR="00DF3D69" w:rsidRPr="009D0BAB">
        <w:rPr>
          <w:rFonts w:ascii="Times New Roman" w:eastAsia="Calibri" w:hAnsi="Times New Roman"/>
          <w:lang w:val="sr-Latn-RS"/>
        </w:rPr>
        <w:t xml:space="preserve">gradove-države pošto je koncept unutrašnje mobilnosti od malog značaja za privrede poput Bahreina, Hong Konga, Kuvajta, Malte, </w:t>
      </w:r>
      <w:r w:rsidR="009D0BAB" w:rsidRPr="009D0BAB">
        <w:rPr>
          <w:rFonts w:ascii="Times New Roman" w:eastAsia="Calibri" w:hAnsi="Times New Roman"/>
          <w:lang w:val="sr-Latn-RS"/>
        </w:rPr>
        <w:t>Singapura</w:t>
      </w:r>
      <w:r w:rsidR="00DF3D69" w:rsidRPr="009D0BAB">
        <w:rPr>
          <w:rFonts w:ascii="Times New Roman" w:eastAsia="Calibri" w:hAnsi="Times New Roman"/>
          <w:lang w:val="sr-Latn-RS"/>
        </w:rPr>
        <w:t xml:space="preserve"> i slično. </w:t>
      </w:r>
    </w:p>
    <w:p w14:paraId="49480FC6" w14:textId="28178842" w:rsidR="00FA56A8" w:rsidRPr="009D0BAB" w:rsidRDefault="00955450" w:rsidP="00FA56A8">
      <w:pPr>
        <w:jc w:val="both"/>
        <w:rPr>
          <w:rFonts w:ascii="Times New Roman" w:eastAsia="Calibri" w:hAnsi="Times New Roman"/>
          <w:lang w:val="sr-Latn-RS"/>
        </w:rPr>
      </w:pPr>
      <w:r w:rsidRPr="009D0BAB">
        <w:rPr>
          <w:rFonts w:ascii="Times New Roman" w:eastAsia="Calibri" w:hAnsi="Times New Roman"/>
          <w:lang w:val="sr-Latn-RS"/>
        </w:rPr>
        <w:tab/>
        <w:t xml:space="preserve"> </w:t>
      </w:r>
      <w:r w:rsidR="00FA56A8" w:rsidRPr="009D0BAB">
        <w:rPr>
          <w:rFonts w:ascii="Times New Roman" w:eastAsia="Calibri" w:hAnsi="Times New Roman"/>
          <w:lang w:val="sr-Latn-RS"/>
        </w:rPr>
        <w:t xml:space="preserve">Analiza stubova </w:t>
      </w:r>
      <w:r w:rsidR="003818F5" w:rsidRPr="009D0BAB">
        <w:rPr>
          <w:rFonts w:ascii="Times New Roman" w:eastAsia="Calibri" w:hAnsi="Times New Roman"/>
          <w:lang w:val="sr-Latn-RS"/>
        </w:rPr>
        <w:t>konkurentnosti</w:t>
      </w:r>
      <w:r w:rsidR="00FA56A8" w:rsidRPr="009D0BAB">
        <w:rPr>
          <w:rFonts w:ascii="Times New Roman" w:eastAsia="Calibri" w:hAnsi="Times New Roman"/>
          <w:lang w:val="sr-Latn-RS"/>
        </w:rPr>
        <w:t xml:space="preserve"> jasno pokazuje da </w:t>
      </w:r>
      <w:r w:rsidR="003C73C2" w:rsidRPr="009D0BAB">
        <w:rPr>
          <w:rFonts w:ascii="Times New Roman" w:eastAsia="Calibri" w:hAnsi="Times New Roman"/>
          <w:lang w:val="sr-Latn-RS"/>
        </w:rPr>
        <w:t xml:space="preserve">su </w:t>
      </w:r>
      <w:r w:rsidR="00FA56A8" w:rsidRPr="009D0BAB">
        <w:rPr>
          <w:rFonts w:ascii="Times New Roman" w:eastAsia="Calibri" w:hAnsi="Times New Roman"/>
          <w:lang w:val="sr-Latn-RS"/>
        </w:rPr>
        <w:t xml:space="preserve">u mnogim zemljama </w:t>
      </w:r>
      <w:r w:rsidR="003C73C2" w:rsidRPr="009D0BAB">
        <w:rPr>
          <w:rFonts w:ascii="Times New Roman" w:eastAsia="Calibri" w:hAnsi="Times New Roman"/>
          <w:lang w:val="sr-Latn-RS"/>
        </w:rPr>
        <w:t xml:space="preserve">osnovni uzroci usporenog rasta </w:t>
      </w:r>
      <w:r w:rsidR="00FA56A8" w:rsidRPr="009D0BAB">
        <w:rPr>
          <w:rFonts w:ascii="Times New Roman" w:eastAsia="Calibri" w:hAnsi="Times New Roman"/>
          <w:lang w:val="sr-Latn-RS"/>
        </w:rPr>
        <w:t xml:space="preserve">nesposobnost da se iskoriste nove </w:t>
      </w:r>
      <w:r w:rsidR="003818F5" w:rsidRPr="009D0BAB">
        <w:rPr>
          <w:rFonts w:ascii="Times New Roman" w:eastAsia="Calibri" w:hAnsi="Times New Roman"/>
          <w:lang w:val="sr-Latn-RS"/>
        </w:rPr>
        <w:t>mogućnosti</w:t>
      </w:r>
      <w:r w:rsidR="00FA56A8" w:rsidRPr="009D0BAB">
        <w:rPr>
          <w:rFonts w:ascii="Times New Roman" w:eastAsia="Calibri" w:hAnsi="Times New Roman"/>
          <w:lang w:val="sr-Latn-RS"/>
        </w:rPr>
        <w:t xml:space="preserve"> koje nudi </w:t>
      </w:r>
      <w:r w:rsidR="003C73C2" w:rsidRPr="009D0BAB">
        <w:rPr>
          <w:rFonts w:ascii="Times New Roman" w:eastAsia="Calibri" w:hAnsi="Times New Roman"/>
          <w:lang w:val="sr-Latn-RS"/>
        </w:rPr>
        <w:t xml:space="preserve">4IR u vidu savremenih tehnologiju u kombinaciji sa </w:t>
      </w:r>
      <w:r w:rsidR="00FA56A8" w:rsidRPr="009D0BAB">
        <w:rPr>
          <w:rFonts w:ascii="Times New Roman" w:eastAsia="Calibri" w:hAnsi="Times New Roman"/>
          <w:lang w:val="sr-Latn-RS"/>
        </w:rPr>
        <w:t>"star</w:t>
      </w:r>
      <w:r w:rsidR="003C73C2" w:rsidRPr="009D0BAB">
        <w:rPr>
          <w:rFonts w:ascii="Times New Roman" w:eastAsia="Calibri" w:hAnsi="Times New Roman"/>
          <w:lang w:val="sr-Latn-RS"/>
        </w:rPr>
        <w:t>im</w:t>
      </w:r>
      <w:r w:rsidR="00FA56A8" w:rsidRPr="009D0BAB">
        <w:rPr>
          <w:rFonts w:ascii="Times New Roman" w:eastAsia="Calibri" w:hAnsi="Times New Roman"/>
          <w:lang w:val="sr-Latn-RS"/>
        </w:rPr>
        <w:t xml:space="preserve">" </w:t>
      </w:r>
      <w:r w:rsidR="003C73C2" w:rsidRPr="009D0BAB">
        <w:rPr>
          <w:rFonts w:ascii="Times New Roman" w:eastAsia="Calibri" w:hAnsi="Times New Roman"/>
          <w:lang w:val="sr-Latn-RS"/>
        </w:rPr>
        <w:t xml:space="preserve">problemima </w:t>
      </w:r>
      <w:r w:rsidR="003818F5" w:rsidRPr="009D0BAB">
        <w:rPr>
          <w:rFonts w:ascii="Times New Roman" w:eastAsia="Calibri" w:hAnsi="Times New Roman"/>
          <w:lang w:val="sr-Latn-RS"/>
        </w:rPr>
        <w:t>privrednog</w:t>
      </w:r>
      <w:r w:rsidR="003C73C2" w:rsidRPr="009D0BAB">
        <w:rPr>
          <w:rFonts w:ascii="Times New Roman" w:eastAsia="Calibri" w:hAnsi="Times New Roman"/>
          <w:lang w:val="sr-Latn-RS"/>
        </w:rPr>
        <w:t xml:space="preserve"> razvoj</w:t>
      </w:r>
      <w:r w:rsidR="00FA56A8" w:rsidRPr="009D0BAB">
        <w:rPr>
          <w:rFonts w:ascii="Times New Roman" w:eastAsia="Calibri" w:hAnsi="Times New Roman"/>
          <w:lang w:val="sr-Latn-RS"/>
        </w:rPr>
        <w:t xml:space="preserve">a </w:t>
      </w:r>
      <w:r w:rsidR="003C73C2" w:rsidRPr="009D0BAB">
        <w:rPr>
          <w:rFonts w:ascii="Times New Roman" w:eastAsia="Calibri" w:hAnsi="Times New Roman"/>
          <w:lang w:val="sr-Latn-RS"/>
        </w:rPr>
        <w:t>u vidu loših institucija</w:t>
      </w:r>
      <w:r w:rsidR="00FA56A8" w:rsidRPr="009D0BAB">
        <w:rPr>
          <w:rFonts w:ascii="Times New Roman" w:eastAsia="Calibri" w:hAnsi="Times New Roman"/>
          <w:lang w:val="sr-Latn-RS"/>
        </w:rPr>
        <w:t>, infrastruktura i veštine</w:t>
      </w:r>
      <w:r w:rsidR="003C73C2" w:rsidRPr="009D0BAB">
        <w:rPr>
          <w:rFonts w:ascii="Times New Roman" w:eastAsia="Calibri" w:hAnsi="Times New Roman"/>
          <w:lang w:val="sr-Latn-RS"/>
        </w:rPr>
        <w:t xml:space="preserve"> kojima radnici raspolažu. </w:t>
      </w:r>
      <w:r w:rsidR="00FA56A8" w:rsidRPr="009D0BAB">
        <w:rPr>
          <w:rFonts w:ascii="Times New Roman" w:eastAsia="Calibri" w:hAnsi="Times New Roman"/>
          <w:lang w:val="sr-Latn-RS"/>
        </w:rPr>
        <w:t xml:space="preserve">Snažne institucije su osnovni pokretač kako produktivnosti tako i dugoročnog rasta. </w:t>
      </w:r>
      <w:r w:rsidR="003C73C2" w:rsidRPr="009D0BAB">
        <w:rPr>
          <w:rFonts w:ascii="Times New Roman" w:eastAsia="Calibri" w:hAnsi="Times New Roman"/>
          <w:lang w:val="sr-Latn-RS"/>
        </w:rPr>
        <w:t xml:space="preserve">Kvalitet institucionalnog okruženja u velikoj meri određuje stepen razvijenosti tehnologije i fizičkog i ljudskog kapitala koji predstavljaju osnove izvore </w:t>
      </w:r>
      <w:r w:rsidR="00FA56A8" w:rsidRPr="009D0BAB">
        <w:rPr>
          <w:rFonts w:ascii="Times New Roman" w:eastAsia="Calibri" w:hAnsi="Times New Roman"/>
          <w:lang w:val="sr-Latn-RS"/>
        </w:rPr>
        <w:t xml:space="preserve">razlika </w:t>
      </w:r>
      <w:r w:rsidR="003C73C2" w:rsidRPr="009D0BAB">
        <w:rPr>
          <w:rFonts w:ascii="Times New Roman" w:eastAsia="Calibri" w:hAnsi="Times New Roman"/>
          <w:lang w:val="sr-Latn-RS"/>
        </w:rPr>
        <w:t xml:space="preserve">u </w:t>
      </w:r>
      <w:r w:rsidR="00FA56A8" w:rsidRPr="009D0BAB">
        <w:rPr>
          <w:rFonts w:ascii="Times New Roman" w:eastAsia="Calibri" w:hAnsi="Times New Roman"/>
          <w:lang w:val="sr-Latn-RS"/>
        </w:rPr>
        <w:t xml:space="preserve">dohotka u zemljama. </w:t>
      </w:r>
      <w:r w:rsidRPr="009D0BAB">
        <w:rPr>
          <w:rFonts w:ascii="Times New Roman" w:eastAsia="Calibri" w:hAnsi="Times New Roman"/>
          <w:lang w:val="sr-Latn-RS"/>
        </w:rPr>
        <w:t xml:space="preserve">Važnost ovih bazičnih determinanti za ekonomski napredak uticao je da </w:t>
      </w:r>
      <w:r w:rsidR="00FA56A8" w:rsidRPr="009D0BAB">
        <w:rPr>
          <w:rFonts w:ascii="Times New Roman" w:eastAsia="Calibri" w:hAnsi="Times New Roman"/>
          <w:lang w:val="sr-Latn-RS"/>
        </w:rPr>
        <w:t xml:space="preserve">prvi od 12 stubova </w:t>
      </w:r>
      <w:r w:rsidRPr="009D0BAB">
        <w:rPr>
          <w:rFonts w:ascii="Times New Roman" w:eastAsia="Calibri" w:hAnsi="Times New Roman"/>
          <w:lang w:val="sr-Latn-RS"/>
        </w:rPr>
        <w:t xml:space="preserve">IGK 4.0 meri </w:t>
      </w:r>
      <w:r w:rsidR="00FA56A8" w:rsidRPr="009D0BAB">
        <w:rPr>
          <w:rFonts w:ascii="Times New Roman" w:eastAsia="Calibri" w:hAnsi="Times New Roman"/>
          <w:lang w:val="sr-Latn-RS"/>
        </w:rPr>
        <w:t>kvalitet</w:t>
      </w:r>
      <w:r w:rsidRPr="009D0BAB">
        <w:rPr>
          <w:rFonts w:ascii="Times New Roman" w:eastAsia="Calibri" w:hAnsi="Times New Roman"/>
          <w:lang w:val="sr-Latn-RS"/>
        </w:rPr>
        <w:t xml:space="preserve"> i razvijenost</w:t>
      </w:r>
      <w:r w:rsidR="00FA56A8" w:rsidRPr="009D0BAB">
        <w:rPr>
          <w:rFonts w:ascii="Times New Roman" w:eastAsia="Calibri" w:hAnsi="Times New Roman"/>
          <w:lang w:val="sr-Latn-RS"/>
        </w:rPr>
        <w:t xml:space="preserve"> institucija. </w:t>
      </w:r>
      <w:r w:rsidRPr="009D0BAB">
        <w:rPr>
          <w:rFonts w:ascii="Times New Roman" w:eastAsia="Calibri" w:hAnsi="Times New Roman"/>
          <w:lang w:val="sr-Latn-RS"/>
        </w:rPr>
        <w:t>Uređivanjem</w:t>
      </w:r>
      <w:r w:rsidR="00FA56A8" w:rsidRPr="009D0BAB">
        <w:rPr>
          <w:rFonts w:ascii="Times New Roman" w:eastAsia="Calibri" w:hAnsi="Times New Roman"/>
          <w:lang w:val="sr-Latn-RS"/>
        </w:rPr>
        <w:t xml:space="preserve"> načina na koji se pojedinci organizuju </w:t>
      </w:r>
      <w:r w:rsidRPr="009D0BAB">
        <w:rPr>
          <w:rFonts w:ascii="Times New Roman" w:eastAsia="Calibri" w:hAnsi="Times New Roman"/>
          <w:lang w:val="sr-Latn-RS"/>
        </w:rPr>
        <w:t>i oblikovanjem ekonomskih transakcija</w:t>
      </w:r>
      <w:r w:rsidR="00FA56A8" w:rsidRPr="009D0BAB">
        <w:rPr>
          <w:rFonts w:ascii="Times New Roman" w:eastAsia="Calibri" w:hAnsi="Times New Roman"/>
          <w:lang w:val="sr-Latn-RS"/>
        </w:rPr>
        <w:t xml:space="preserve">, institucije čine okosnicu ekonomske aktivnosti </w:t>
      </w:r>
      <w:r w:rsidRPr="009D0BAB">
        <w:rPr>
          <w:rFonts w:ascii="Times New Roman" w:eastAsia="Calibri" w:hAnsi="Times New Roman"/>
          <w:lang w:val="sr-Latn-RS"/>
        </w:rPr>
        <w:t xml:space="preserve">i blagostanja u društvu. Bez razvoja institucionalne </w:t>
      </w:r>
      <w:r w:rsidRPr="009D0BAB">
        <w:rPr>
          <w:rFonts w:ascii="Times New Roman" w:eastAsia="Calibri" w:hAnsi="Times New Roman"/>
          <w:lang w:val="sr-Latn-RS"/>
        </w:rPr>
        <w:lastRenderedPageBreak/>
        <w:t>infrastrukture unapređenja ostalih stubova moguća su uz drastično rastuće marginalne troškove, na osnovu čega je dugoročno unapređenje životnog standarda na ovaj način neizvodljivo.</w:t>
      </w:r>
    </w:p>
    <w:p w14:paraId="605124DD" w14:textId="77777777" w:rsidR="00F4335D" w:rsidRPr="009D0BAB" w:rsidRDefault="00C56B11" w:rsidP="00C56B11">
      <w:pPr>
        <w:jc w:val="both"/>
        <w:rPr>
          <w:rFonts w:ascii="Times New Roman" w:eastAsia="Calibri" w:hAnsi="Times New Roman"/>
          <w:lang w:val="sr-Latn-RS"/>
        </w:rPr>
      </w:pPr>
      <w:r w:rsidRPr="009D0BAB">
        <w:rPr>
          <w:rFonts w:ascii="Times New Roman" w:eastAsia="Calibri" w:hAnsi="Times New Roman"/>
          <w:lang w:val="sr-Latn-RS"/>
        </w:rPr>
        <w:tab/>
        <w:t xml:space="preserve">Paralelno sa razvojem konkurentske pozicije neophodno je voditi računa i o stepenu nejednakosti i zaštiti životne sredine. Vremenske nepogode i problemi globalnog zagrevanja predstavljaju ograničenje na </w:t>
      </w:r>
      <w:r w:rsidR="00F6216D" w:rsidRPr="009D0BAB">
        <w:rPr>
          <w:rFonts w:ascii="Times New Roman" w:eastAsia="Calibri" w:hAnsi="Times New Roman"/>
          <w:lang w:val="sr-Latn-RS"/>
        </w:rPr>
        <w:t>planetarnom</w:t>
      </w:r>
      <w:r w:rsidRPr="009D0BAB">
        <w:rPr>
          <w:rFonts w:ascii="Times New Roman" w:eastAsia="Calibri" w:hAnsi="Times New Roman"/>
          <w:lang w:val="sr-Latn-RS"/>
        </w:rPr>
        <w:t xml:space="preserve"> nivou sa tendencijom pogoršanja ukoliko se ne promeni pristup od strane zemalja koje su najviše zaslužne za njih. Otvaranje privrede ka međunarodnoj konkurenciji i liberalizacija tržišta dobara, kapitala i rada predstavlja jedan od načina dodatnog unapređenja </w:t>
      </w:r>
      <w:r w:rsidR="003818F5" w:rsidRPr="009D0BAB">
        <w:rPr>
          <w:rFonts w:ascii="Times New Roman" w:eastAsia="Calibri" w:hAnsi="Times New Roman"/>
          <w:lang w:val="sr-Latn-RS"/>
        </w:rPr>
        <w:t>konkurentske</w:t>
      </w:r>
      <w:r w:rsidRPr="009D0BAB">
        <w:rPr>
          <w:rFonts w:ascii="Times New Roman" w:eastAsia="Calibri" w:hAnsi="Times New Roman"/>
          <w:lang w:val="sr-Latn-RS"/>
        </w:rPr>
        <w:t xml:space="preserve"> pozicije, što potvrđuju i ovogodišnji podaci. Ipak, politike usmerene ka bržoj integraciji u međunarodna tržišta neophodno je sprovoditi u koordinaciji sa politikama osnaživanja izloženih grupa (radnika, malih preduzeća) u cilju sticanja neophodnih veština za rad u novom okruženju.</w:t>
      </w:r>
    </w:p>
    <w:p w14:paraId="13D66231" w14:textId="2176D3AA" w:rsidR="00C56B11" w:rsidRDefault="00C56B11" w:rsidP="00C56B11">
      <w:pPr>
        <w:jc w:val="both"/>
        <w:rPr>
          <w:rFonts w:ascii="Times New Roman" w:eastAsia="Calibri" w:hAnsi="Times New Roman"/>
          <w:lang w:val="sr-Latn-RS"/>
        </w:rPr>
      </w:pPr>
      <w:r w:rsidRPr="009D0BAB">
        <w:rPr>
          <w:rFonts w:ascii="Times New Roman" w:eastAsia="Calibri" w:hAnsi="Times New Roman"/>
          <w:lang w:val="sr-Latn-RS"/>
        </w:rPr>
        <w:t xml:space="preserve">     </w:t>
      </w:r>
    </w:p>
    <w:p w14:paraId="5390DAC3" w14:textId="77777777" w:rsidR="0037061C" w:rsidRPr="009D0BAB" w:rsidRDefault="0037061C" w:rsidP="00C56B11">
      <w:pPr>
        <w:jc w:val="both"/>
        <w:rPr>
          <w:rFonts w:ascii="Times New Roman" w:eastAsia="Calibri" w:hAnsi="Times New Roman"/>
          <w:lang w:val="sr-Latn-RS"/>
        </w:rPr>
      </w:pPr>
    </w:p>
    <w:p w14:paraId="75A0C9C6" w14:textId="77777777" w:rsidR="00F57B83" w:rsidRPr="009D0BAB" w:rsidRDefault="00F57B83" w:rsidP="00B10D6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i/>
          <w:lang w:val="sr-Latn-RS"/>
        </w:rPr>
      </w:pPr>
      <w:r w:rsidRPr="009D0BAB">
        <w:rPr>
          <w:rFonts w:ascii="Times New Roman" w:hAnsi="Times New Roman"/>
          <w:b/>
          <w:i/>
          <w:sz w:val="28"/>
          <w:lang w:val="sr-Latn-RS"/>
        </w:rPr>
        <w:t>Konkurentnost i konkurencija</w:t>
      </w:r>
    </w:p>
    <w:p w14:paraId="34699BB4" w14:textId="77777777" w:rsidR="00F57B83" w:rsidRPr="009D0BAB" w:rsidRDefault="00F57B83" w:rsidP="00B10D6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lang w:val="sr-Latn-RS"/>
        </w:rPr>
      </w:pPr>
    </w:p>
    <w:p w14:paraId="52871C16" w14:textId="77777777" w:rsidR="00F57B83" w:rsidRPr="009D0BAB" w:rsidRDefault="00F57B83" w:rsidP="00B10D60">
      <w:pPr>
        <w:pBdr>
          <w:top w:val="single" w:sz="4" w:space="1" w:color="auto"/>
          <w:left w:val="single" w:sz="4" w:space="4" w:color="auto"/>
          <w:bottom w:val="single" w:sz="4" w:space="1" w:color="auto"/>
          <w:right w:val="single" w:sz="4" w:space="4" w:color="auto"/>
        </w:pBdr>
        <w:shd w:val="clear" w:color="auto" w:fill="BFBFBF"/>
        <w:jc w:val="both"/>
        <w:rPr>
          <w:lang w:val="sr-Latn-RS"/>
        </w:rPr>
      </w:pPr>
      <w:r w:rsidRPr="009D0BAB">
        <w:rPr>
          <w:rFonts w:ascii="Times New Roman" w:hAnsi="Times New Roman"/>
          <w:lang w:val="sr-Latn-RS"/>
        </w:rPr>
        <w:t xml:space="preserve">Imajući u vidu kompleksnu strukturu IGK-a, konkurentnost koju reprezentuje mogli bismo grubo definisati kao skup institucija, politika i činilaca koji određuju stepen produktivnosti zemlje. Nivoom konkurentnosti izražava se kapacitet nacionalne privrede da u srednjoročnom periodu generiše održivi ekonomski rast na postojećem nivou razvijenosti. Polazeći od definicije konkurentnosti ukazaćemo na terminološku razliku između konkurentnosti i konkurencije, jer se u široj domaćoj javnosti, štampanim i elektronskim medijima, ova dva termina nepravilno koriste kao sinonimi, te se unapređenje konkurentnosti i unapređenje konkurencije neopravdano poistovećuju. Naime, konkurencija kao tržišni fenomen govori o intenzitetu tržišne utakmice između tržišnih učesnika kako na strani ponude tako i na strani tražnje za dobrima i uslugama. Podsticanje konkurencije na parcijalnim tržištima bi trebalo da rezultira nižim cenama, većim kvalitetom i raznovrsnošću proizvoda i usluga, učestalim inovacijama na strani ponude, što ima pozitivne implikacije na potrošačev višak. Zbog svog pozitivnog dejstva na nivo blagostanja parcijalnih tržišta, zaštita i podsticanje konkurencije su teme od prvorazrednog značaja za sve tržišne privrede. Podizanje nivoa konkurencije između tržišnih učesnika i </w:t>
      </w:r>
      <w:r w:rsidRPr="009D0BAB">
        <w:rPr>
          <w:rFonts w:ascii="Times New Roman" w:hAnsi="Times New Roman"/>
          <w:i/>
          <w:lang w:val="sr-Latn-RS"/>
        </w:rPr>
        <w:t>ceteris paribus</w:t>
      </w:r>
      <w:r w:rsidRPr="009D0BAB">
        <w:rPr>
          <w:rFonts w:ascii="Times New Roman" w:hAnsi="Times New Roman"/>
          <w:lang w:val="sr-Latn-RS"/>
        </w:rPr>
        <w:t xml:space="preserve"> dovodi do unapređenja konkurentnosti zemlje, ali suprotno ne mora da važi. Naime, aspekti konkurencije ulaze u proračun samo jednog od ukupno dvanaest stubova konkurentnosti zemlje („Efikasnost tržišta dobara“), što konkurentnost čini znatno širim i obuhvatnijim pojmom od konkurencije. Koreni poistovećivanja ovih pojmova nalaze su u relativno kratkoj prisutnosti ovih termina u stručnoj i široj javnosti u Srbiji. Rangiranje zemalja prema Indeksu globalne konkurentnosti datira od 2005. godine. Iako se počeci razmatranja aspekata konkurentnosti zemalja i pokušaji njenog merenja mogu pronaći znatno pre pomenute godine, globalna rasprostranjenost ovog fenomena nastupa tek s Indeksom globalne konkurentnosti. Za istu godinu vezuje se i početak uvođenja zaštite konkurencije u Srbiji, donošenjem Zakona o zaštiti konkurencije i formiranjem Komisije za zaštitu konkurencije.</w:t>
      </w:r>
    </w:p>
    <w:p w14:paraId="2FE1A86F" w14:textId="4E143A4F" w:rsidR="00C75409" w:rsidRPr="009D0BAB" w:rsidRDefault="00C75409"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sr-Latn-RS"/>
        </w:rPr>
      </w:pPr>
    </w:p>
    <w:p w14:paraId="3CF4D29E"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497C423"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05FC3A0"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B60BB66"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CF203DC"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21F157E"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EB1A131"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3BFC971D"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377CE1B"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B18FB75"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DEE09DE"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0AC8B9B"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3273CEA"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2C467F4"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41B1F12"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848D019"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5933A0FA"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B90A47B"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79382CC4"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2D8D9B5"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FF9B462"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AD98F5A"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50C16BE"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8F39308"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6250B62"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F75F234"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4755777"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8CAF13D"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2FE4842"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53B36B9"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FED1E45"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7000FA4E"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37EE31DB"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0EB2E5CF"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53C7D937"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7042E24A"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700F1A7A"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149D6CD"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46E16E74"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60F1C57B"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15B0C886"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2E7C6466" w14:textId="77777777" w:rsidR="00A04BD2" w:rsidRDefault="00A04BD2"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sz w:val="22"/>
          <w:szCs w:val="22"/>
          <w:lang w:val="sr-Latn-RS"/>
        </w:rPr>
      </w:pPr>
    </w:p>
    <w:p w14:paraId="790DCF59" w14:textId="37E1E3FB" w:rsidR="00C75409" w:rsidRPr="009D0BAB" w:rsidRDefault="00C75409" w:rsidP="007B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sr-Latn-RS"/>
        </w:rPr>
      </w:pPr>
      <w:r w:rsidRPr="009D0BAB">
        <w:rPr>
          <w:rFonts w:ascii="Times New Roman" w:hAnsi="Times New Roman"/>
          <w:b/>
          <w:bCs/>
          <w:i/>
          <w:iCs/>
          <w:sz w:val="22"/>
          <w:szCs w:val="22"/>
          <w:lang w:val="sr-Latn-RS"/>
        </w:rPr>
        <w:t>ISTRAŽIVANJE ZA SRBIJU ZA 2019. GODINU PODRŽALA JE SRPSKA ASOCIJACIJA MENADŽERA – www.sam.org.rs</w:t>
      </w:r>
    </w:p>
    <w:sectPr w:rsidR="00C75409" w:rsidRPr="009D0BAB" w:rsidSect="00F71D3C">
      <w:headerReference w:type="default" r:id="rId10"/>
      <w:footerReference w:type="default" r:id="rId11"/>
      <w:type w:val="continuous"/>
      <w:pgSz w:w="11906" w:h="16838" w:code="9"/>
      <w:pgMar w:top="851" w:right="851" w:bottom="851" w:left="851" w:header="113" w:footer="170" w:gutter="0"/>
      <w:pgBorders w:offsetFrom="page">
        <w:bottom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099D" w14:textId="77777777" w:rsidR="00111D30" w:rsidRDefault="00111D30">
      <w:r>
        <w:separator/>
      </w:r>
    </w:p>
  </w:endnote>
  <w:endnote w:type="continuationSeparator" w:id="0">
    <w:p w14:paraId="4D323C32" w14:textId="77777777" w:rsidR="00111D30" w:rsidRDefault="001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Roboto Slab">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2A63" w14:textId="77777777" w:rsidR="0034127F" w:rsidRPr="00814E83" w:rsidRDefault="0034127F" w:rsidP="006141A0">
    <w:pPr>
      <w:jc w:val="center"/>
      <w:rPr>
        <w:rFonts w:ascii="Tahoma" w:hAnsi="Tahoma" w:cs="Tahoma"/>
        <w:color w:val="666699"/>
        <w:sz w:val="14"/>
        <w:szCs w:val="14"/>
      </w:rPr>
    </w:pPr>
    <w:r>
      <w:rPr>
        <w:rFonts w:ascii="Tahoma" w:hAnsi="Tahoma" w:cs="Tahoma"/>
        <w:color w:val="666699"/>
        <w:sz w:val="14"/>
        <w:szCs w:val="14"/>
      </w:rPr>
      <w:t xml:space="preserve">Srbija </w:t>
    </w:r>
    <w:r w:rsidRPr="00814E83">
      <w:rPr>
        <w:rFonts w:ascii="Tahoma" w:hAnsi="Tahoma" w:cs="Tahoma"/>
        <w:color w:val="666699"/>
        <w:sz w:val="14"/>
        <w:szCs w:val="14"/>
      </w:rPr>
      <w:t xml:space="preserve">• 11000 Beograd • Kamenička br.6  • Tel/Fax: +381 11 3021-069 • E-mail: </w:t>
    </w:r>
    <w:r w:rsidRPr="00775BC3">
      <w:rPr>
        <w:rFonts w:ascii="Tahoma" w:hAnsi="Tahoma" w:cs="Tahoma"/>
        <w:color w:val="666699"/>
        <w:sz w:val="14"/>
        <w:szCs w:val="14"/>
      </w:rPr>
      <w:t>office</w:t>
    </w:r>
    <w:r>
      <w:rPr>
        <w:rFonts w:ascii="Tahoma" w:hAnsi="Tahoma" w:cs="Tahoma"/>
        <w:color w:val="666699"/>
        <w:sz w:val="14"/>
        <w:szCs w:val="14"/>
      </w:rPr>
      <w:t>@fren.org.rs • www.fren.org.rs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AAA33" w14:textId="77777777" w:rsidR="00111D30" w:rsidRDefault="00111D30">
      <w:r>
        <w:separator/>
      </w:r>
    </w:p>
  </w:footnote>
  <w:footnote w:type="continuationSeparator" w:id="0">
    <w:p w14:paraId="043B07D4" w14:textId="77777777" w:rsidR="00111D30" w:rsidRDefault="00111D30">
      <w:r>
        <w:continuationSeparator/>
      </w:r>
    </w:p>
  </w:footnote>
  <w:footnote w:id="1">
    <w:p w14:paraId="1ADA181C" w14:textId="77777777" w:rsidR="0034127F" w:rsidRPr="00567F13" w:rsidRDefault="0034127F" w:rsidP="00070889">
      <w:pPr>
        <w:pStyle w:val="FootnoteText"/>
        <w:jc w:val="both"/>
        <w:rPr>
          <w:rFonts w:ascii="Times New Roman" w:hAnsi="Times New Roman"/>
          <w:lang w:val="sr-Latn-RS"/>
        </w:rPr>
      </w:pPr>
      <w:r w:rsidRPr="00567F13">
        <w:rPr>
          <w:rStyle w:val="FootnoteReference"/>
          <w:rFonts w:ascii="Times New Roman" w:hAnsi="Times New Roman"/>
          <w:lang w:val="sr-Latn-RS"/>
        </w:rPr>
        <w:footnoteRef/>
      </w:r>
      <w:r w:rsidRPr="00567F13">
        <w:rPr>
          <w:rFonts w:ascii="Times New Roman" w:hAnsi="Times New Roman"/>
          <w:lang w:val="sr-Latn-RS"/>
        </w:rPr>
        <w:t xml:space="preserve"> Ekonomski fakultet Univerziteta u Beogradu i FREN</w:t>
      </w:r>
    </w:p>
  </w:footnote>
  <w:footnote w:id="2">
    <w:p w14:paraId="3BDBAAD6" w14:textId="77777777" w:rsidR="0034127F" w:rsidRPr="00567F13" w:rsidRDefault="0034127F" w:rsidP="00EA7BB9">
      <w:pPr>
        <w:pStyle w:val="FootnoteText"/>
        <w:jc w:val="both"/>
        <w:rPr>
          <w:rFonts w:ascii="Times New Roman" w:hAnsi="Times New Roman"/>
          <w:lang w:val="sr-Latn-RS"/>
        </w:rPr>
      </w:pPr>
      <w:r w:rsidRPr="00567F13">
        <w:rPr>
          <w:rStyle w:val="FootnoteReference"/>
          <w:rFonts w:ascii="Times New Roman" w:hAnsi="Times New Roman"/>
          <w:lang w:val="sr-Latn-RS"/>
        </w:rPr>
        <w:footnoteRef/>
      </w:r>
      <w:r w:rsidRPr="00567F13">
        <w:rPr>
          <w:rFonts w:ascii="Times New Roman" w:hAnsi="Times New Roman"/>
          <w:lang w:val="sr-Latn-RS"/>
        </w:rPr>
        <w:t xml:space="preserve"> Ekonomski fakultet Univerziteta u Beogradu i FREN</w:t>
      </w:r>
    </w:p>
  </w:footnote>
  <w:footnote w:id="3">
    <w:p w14:paraId="254E4E47" w14:textId="4565BEC7" w:rsidR="0034127F" w:rsidRPr="00FA378C" w:rsidRDefault="0034127F">
      <w:pPr>
        <w:pStyle w:val="FootnoteText"/>
        <w:rPr>
          <w:rFonts w:ascii="Times New Roman" w:hAnsi="Times New Roman"/>
          <w:lang w:val="sr-Latn-RS"/>
        </w:rPr>
      </w:pPr>
      <w:r w:rsidRPr="00FA378C">
        <w:rPr>
          <w:rStyle w:val="FootnoteReference"/>
          <w:rFonts w:ascii="Times New Roman" w:hAnsi="Times New Roman"/>
        </w:rPr>
        <w:footnoteRef/>
      </w:r>
      <w:r w:rsidRPr="00FA378C">
        <w:rPr>
          <w:rFonts w:ascii="Times New Roman" w:hAnsi="Times New Roman"/>
        </w:rPr>
        <w:t xml:space="preserve"> </w:t>
      </w:r>
      <w:r w:rsidRPr="00FA378C">
        <w:rPr>
          <w:rStyle w:val="fontstyle01"/>
          <w:rFonts w:ascii="Times New Roman" w:hAnsi="Times New Roman" w:cs="Times New Roman"/>
          <w:sz w:val="20"/>
          <w:szCs w:val="20"/>
        </w:rPr>
        <w:t>Legatum I</w:t>
      </w:r>
      <w:r w:rsidR="00F502C0">
        <w:rPr>
          <w:rStyle w:val="fontstyle01"/>
          <w:rFonts w:ascii="Times New Roman" w:hAnsi="Times New Roman" w:cs="Times New Roman"/>
          <w:sz w:val="20"/>
          <w:szCs w:val="20"/>
        </w:rPr>
        <w:t xml:space="preserve">nstitute, The Legatum </w:t>
      </w:r>
      <w:proofErr w:type="spellStart"/>
      <w:r w:rsidR="00F502C0">
        <w:rPr>
          <w:rStyle w:val="fontstyle01"/>
          <w:rFonts w:ascii="Times New Roman" w:hAnsi="Times New Roman" w:cs="Times New Roman"/>
          <w:sz w:val="20"/>
          <w:szCs w:val="20"/>
        </w:rPr>
        <w:t>Proseprity</w:t>
      </w:r>
      <w:proofErr w:type="spellEnd"/>
      <w:r w:rsidRPr="00FA378C">
        <w:rPr>
          <w:rStyle w:val="fontstyle01"/>
          <w:rFonts w:ascii="Times New Roman" w:hAnsi="Times New Roman" w:cs="Times New Roman"/>
          <w:sz w:val="20"/>
          <w:szCs w:val="20"/>
        </w:rPr>
        <w:t xml:space="preserve"> Index 2018 (http://www.prosperit</w:t>
      </w:r>
      <w:r w:rsidR="00F502C0">
        <w:rPr>
          <w:rStyle w:val="fontstyle01"/>
          <w:rFonts w:ascii="Times New Roman" w:hAnsi="Times New Roman" w:cs="Times New Roman"/>
          <w:sz w:val="20"/>
          <w:szCs w:val="20"/>
        </w:rPr>
        <w:t>y</w:t>
      </w:r>
      <w:r w:rsidRPr="00FA378C">
        <w:rPr>
          <w:rStyle w:val="fontstyle01"/>
          <w:rFonts w:ascii="Times New Roman" w:hAnsi="Times New Roman" w:cs="Times New Roman"/>
          <w:sz w:val="20"/>
          <w:szCs w:val="20"/>
        </w:rPr>
        <w:t>.com/about/resources)</w:t>
      </w:r>
    </w:p>
  </w:footnote>
  <w:footnote w:id="4">
    <w:p w14:paraId="2C1899E7" w14:textId="6DC7CDE5" w:rsidR="005D0356" w:rsidRPr="005D0356" w:rsidRDefault="005D0356">
      <w:pPr>
        <w:pStyle w:val="FootnoteText"/>
        <w:rPr>
          <w:rFonts w:ascii="Times New Roman" w:hAnsi="Times New Roman"/>
          <w:lang w:val="sr-Latn-RS"/>
        </w:rPr>
      </w:pPr>
      <w:bookmarkStart w:id="0" w:name="_GoBack"/>
      <w:r w:rsidRPr="005D0356">
        <w:rPr>
          <w:rStyle w:val="FootnoteReference"/>
          <w:rFonts w:ascii="Times New Roman" w:hAnsi="Times New Roman"/>
        </w:rPr>
        <w:footnoteRef/>
      </w:r>
      <w:r w:rsidRPr="005D0356">
        <w:rPr>
          <w:rFonts w:ascii="Times New Roman" w:hAnsi="Times New Roman"/>
        </w:rPr>
        <w:t xml:space="preserve"> http://www.healthdata.org/</w:t>
      </w:r>
      <w:bookmarkEnd w:id="0"/>
    </w:p>
  </w:footnote>
  <w:footnote w:id="5">
    <w:p w14:paraId="52DAAB41" w14:textId="4216763B" w:rsidR="000D10F0" w:rsidRPr="000D10F0" w:rsidRDefault="000D10F0">
      <w:pPr>
        <w:pStyle w:val="FootnoteText"/>
        <w:rPr>
          <w:rFonts w:ascii="Times New Roman" w:hAnsi="Times New Roman"/>
          <w:lang w:val="sr-Latn-RS"/>
        </w:rPr>
      </w:pPr>
      <w:r w:rsidRPr="000D10F0">
        <w:rPr>
          <w:rStyle w:val="FootnoteReference"/>
          <w:rFonts w:ascii="Times New Roman" w:hAnsi="Times New Roman"/>
        </w:rPr>
        <w:footnoteRef/>
      </w:r>
      <w:r w:rsidRPr="000D10F0">
        <w:rPr>
          <w:rFonts w:ascii="Times New Roman" w:hAnsi="Times New Roman"/>
        </w:rPr>
        <w:t xml:space="preserve"> https://www.internationalbudget.org/open-budget-survey/open-budget-index-rankings/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18A0" w14:textId="77777777" w:rsidR="0034127F" w:rsidRDefault="0034127F" w:rsidP="00733A56">
    <w:pPr>
      <w:pStyle w:val="Header"/>
    </w:pPr>
    <w:r>
      <w:rPr>
        <w:noProof/>
        <w:lang w:val="sr-Latn-RS" w:eastAsia="sr-Latn-RS"/>
      </w:rPr>
      <mc:AlternateContent>
        <mc:Choice Requires="wpg">
          <w:drawing>
            <wp:anchor distT="0" distB="0" distL="114300" distR="114300" simplePos="0" relativeHeight="251657728" behindDoc="0" locked="0" layoutInCell="0" allowOverlap="1" wp14:anchorId="0DC44BA8" wp14:editId="3E971937">
              <wp:simplePos x="0" y="0"/>
              <wp:positionH relativeFrom="page">
                <wp:posOffset>6956425</wp:posOffset>
              </wp:positionH>
              <wp:positionV relativeFrom="page">
                <wp:posOffset>2148205</wp:posOffset>
              </wp:positionV>
              <wp:extent cx="488315" cy="237490"/>
              <wp:effectExtent l="3175" t="5080" r="3810" b="5080"/>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EEBC0" w14:textId="76E339FE" w:rsidR="0034127F" w:rsidRDefault="0034127F">
                            <w:pPr>
                              <w:pStyle w:val="Header"/>
                              <w:jc w:val="center"/>
                            </w:pPr>
                            <w:r w:rsidRPr="00165C6B">
                              <w:rPr>
                                <w:sz w:val="22"/>
                                <w:szCs w:val="22"/>
                              </w:rPr>
                              <w:fldChar w:fldCharType="begin"/>
                            </w:r>
                            <w:r>
                              <w:instrText xml:space="preserve"> PAGE    \* MERGEFORMAT </w:instrText>
                            </w:r>
                            <w:r w:rsidRPr="00165C6B">
                              <w:rPr>
                                <w:sz w:val="22"/>
                                <w:szCs w:val="22"/>
                              </w:rPr>
                              <w:fldChar w:fldCharType="separate"/>
                            </w:r>
                            <w:r w:rsidR="005D0356" w:rsidRPr="005D0356">
                              <w:rPr>
                                <w:rStyle w:val="PageNumber"/>
                                <w:b/>
                                <w:bCs/>
                                <w:noProof/>
                                <w:color w:val="403152"/>
                                <w:sz w:val="16"/>
                                <w:szCs w:val="16"/>
                              </w:rPr>
                              <w:t>10</w:t>
                            </w:r>
                            <w:r w:rsidRPr="00165C6B">
                              <w:rPr>
                                <w:rStyle w:val="PageNumber"/>
                                <w:b/>
                                <w:bCs/>
                                <w:noProof/>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C44BA8" id="Group 70" o:spid="_x0000_s1030" style="position:absolute;margin-left:547.75pt;margin-top:169.15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" o:allowincell="f">
              <v:shapetype id="_x0000_t202" coordsize="21600,21600" o:spt="202" path="m,l,21600r21600,l21600,xe">
                <v:stroke joinstyle="miter"/>
                <v:path gradientshapeok="t" o:connecttype="rect"/>
              </v:shapetype>
              <v:shape id="Text Box 71" o:spid="_x0000_s1031"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4B9EEBC0" w14:textId="76E339FE" w:rsidR="0034127F" w:rsidRDefault="0034127F">
                      <w:pPr>
                        <w:pStyle w:val="Header"/>
                        <w:jc w:val="center"/>
                      </w:pPr>
                      <w:r w:rsidRPr="00165C6B">
                        <w:rPr>
                          <w:sz w:val="22"/>
                          <w:szCs w:val="22"/>
                        </w:rPr>
                        <w:fldChar w:fldCharType="begin"/>
                      </w:r>
                      <w:r>
                        <w:instrText xml:space="preserve"> PAGE    \* MERGEFORMAT </w:instrText>
                      </w:r>
                      <w:r w:rsidRPr="00165C6B">
                        <w:rPr>
                          <w:sz w:val="22"/>
                          <w:szCs w:val="22"/>
                        </w:rPr>
                        <w:fldChar w:fldCharType="separate"/>
                      </w:r>
                      <w:r w:rsidR="005D0356" w:rsidRPr="005D0356">
                        <w:rPr>
                          <w:rStyle w:val="PageNumber"/>
                          <w:b/>
                          <w:bCs/>
                          <w:noProof/>
                          <w:color w:val="403152"/>
                          <w:sz w:val="16"/>
                          <w:szCs w:val="16"/>
                        </w:rPr>
                        <w:t>10</w:t>
                      </w:r>
                      <w:r w:rsidRPr="00165C6B">
                        <w:rPr>
                          <w:rStyle w:val="PageNumber"/>
                          <w:b/>
                          <w:bCs/>
                          <w:noProof/>
                          <w:color w:val="403152"/>
                          <w:sz w:val="16"/>
                          <w:szCs w:val="16"/>
                        </w:rPr>
                        <w:fldChar w:fldCharType="end"/>
                      </w:r>
                    </w:p>
                  </w:txbxContent>
                </v:textbox>
              </v:shape>
              <v:group id="Group 72" o:spid="_x0000_s1032"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33"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4"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page" anchory="page"/>
            </v:group>
          </w:pict>
        </mc:Fallback>
      </mc:AlternateContent>
    </w:r>
    <w:r>
      <w:rPr>
        <w:noProof/>
        <w:lang w:val="sr-Latn-RS" w:eastAsia="sr-Latn-RS"/>
      </w:rPr>
      <w:drawing>
        <wp:inline distT="0" distB="0" distL="0" distR="0" wp14:anchorId="45AF1AC3" wp14:editId="69A28520">
          <wp:extent cx="3027680" cy="629920"/>
          <wp:effectExtent l="0" t="0" r="0" b="0"/>
          <wp:docPr id="1" name="Picture 1" descr="FRE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629920"/>
                  </a:xfrm>
                  <a:prstGeom prst="rect">
                    <a:avLst/>
                  </a:prstGeom>
                  <a:noFill/>
                  <a:ln>
                    <a:noFill/>
                  </a:ln>
                </pic:spPr>
              </pic:pic>
            </a:graphicData>
          </a:graphic>
        </wp:inline>
      </w:drawing>
    </w:r>
  </w:p>
  <w:p w14:paraId="23F49E19" w14:textId="77777777" w:rsidR="0034127F" w:rsidRDefault="0034127F" w:rsidP="00733A56">
    <w:pPr>
      <w:pStyle w:val="Header"/>
    </w:pPr>
  </w:p>
  <w:p w14:paraId="7A61F52D" w14:textId="77777777" w:rsidR="0034127F" w:rsidRPr="00733A56" w:rsidRDefault="0034127F" w:rsidP="0073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C23"/>
    <w:multiLevelType w:val="hybridMultilevel"/>
    <w:tmpl w:val="273439AA"/>
    <w:lvl w:ilvl="0" w:tplc="0809000F">
      <w:start w:val="1"/>
      <w:numFmt w:val="decimal"/>
      <w:lvlText w:val="%1."/>
      <w:lvlJc w:val="left"/>
      <w:pPr>
        <w:ind w:left="720" w:hanging="360"/>
      </w:pPr>
      <w:rPr>
        <w:rFonts w:hint="default"/>
      </w:rPr>
    </w:lvl>
    <w:lvl w:ilvl="1" w:tplc="827EC172">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B7197"/>
    <w:multiLevelType w:val="hybridMultilevel"/>
    <w:tmpl w:val="23167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510AE"/>
    <w:multiLevelType w:val="singleLevel"/>
    <w:tmpl w:val="18E44700"/>
    <w:lvl w:ilvl="0">
      <w:start w:val="2"/>
      <w:numFmt w:val="decimal"/>
      <w:lvlText w:val="-"/>
      <w:lvlJc w:val="left"/>
      <w:pPr>
        <w:tabs>
          <w:tab w:val="num" w:pos="720"/>
        </w:tabs>
        <w:ind w:left="720" w:hanging="720"/>
      </w:pPr>
      <w:rPr>
        <w:rFonts w:ascii="Times New Roman" w:hAnsi="Times New Roman" w:hint="default"/>
        <w:b/>
      </w:rPr>
    </w:lvl>
  </w:abstractNum>
  <w:abstractNum w:abstractNumId="3" w15:restartNumberingAfterBreak="0">
    <w:nsid w:val="168E73A4"/>
    <w:multiLevelType w:val="hybridMultilevel"/>
    <w:tmpl w:val="3B2C9A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11669"/>
    <w:multiLevelType w:val="singleLevel"/>
    <w:tmpl w:val="B9B6EC58"/>
    <w:lvl w:ilvl="0">
      <w:start w:val="2"/>
      <w:numFmt w:val="decimal"/>
      <w:lvlText w:val="-"/>
      <w:lvlJc w:val="left"/>
      <w:pPr>
        <w:tabs>
          <w:tab w:val="num" w:pos="720"/>
        </w:tabs>
        <w:ind w:left="720" w:hanging="720"/>
      </w:pPr>
      <w:rPr>
        <w:rFonts w:ascii="Times New Roman" w:hAnsi="Times New Roman" w:hint="default"/>
        <w:b/>
      </w:rPr>
    </w:lvl>
  </w:abstractNum>
  <w:abstractNum w:abstractNumId="5" w15:restartNumberingAfterBreak="0">
    <w:nsid w:val="21A26F65"/>
    <w:multiLevelType w:val="singleLevel"/>
    <w:tmpl w:val="97BC8DFC"/>
    <w:lvl w:ilvl="0">
      <w:start w:val="2"/>
      <w:numFmt w:val="decimal"/>
      <w:lvlText w:val="-"/>
      <w:lvlJc w:val="left"/>
      <w:pPr>
        <w:tabs>
          <w:tab w:val="num" w:pos="720"/>
        </w:tabs>
        <w:ind w:left="720" w:hanging="720"/>
      </w:pPr>
      <w:rPr>
        <w:rFonts w:ascii="Times New Roman" w:hAnsi="Times New Roman" w:hint="default"/>
        <w:b/>
      </w:rPr>
    </w:lvl>
  </w:abstractNum>
  <w:abstractNum w:abstractNumId="6" w15:restartNumberingAfterBreak="0">
    <w:nsid w:val="32B461C4"/>
    <w:multiLevelType w:val="hybridMultilevel"/>
    <w:tmpl w:val="B89A72C6"/>
    <w:lvl w:ilvl="0" w:tplc="0809000F">
      <w:start w:val="1"/>
      <w:numFmt w:val="decimal"/>
      <w:lvlText w:val="%1."/>
      <w:lvlJc w:val="left"/>
      <w:pPr>
        <w:ind w:left="720" w:hanging="360"/>
      </w:pPr>
      <w:rPr>
        <w:rFonts w:hint="default"/>
      </w:rPr>
    </w:lvl>
    <w:lvl w:ilvl="1" w:tplc="B624F3F4">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F499E"/>
    <w:multiLevelType w:val="singleLevel"/>
    <w:tmpl w:val="F2FE9DBC"/>
    <w:lvl w:ilvl="0">
      <w:start w:val="2"/>
      <w:numFmt w:val="decimal"/>
      <w:lvlText w:val="-"/>
      <w:lvlJc w:val="left"/>
      <w:pPr>
        <w:tabs>
          <w:tab w:val="num" w:pos="720"/>
        </w:tabs>
        <w:ind w:left="720" w:hanging="720"/>
      </w:pPr>
      <w:rPr>
        <w:rFonts w:ascii="Times New Roman" w:hAnsi="Times New Roman" w:hint="default"/>
        <w:b/>
      </w:rPr>
    </w:lvl>
  </w:abstractNum>
  <w:abstractNum w:abstractNumId="8" w15:restartNumberingAfterBreak="0">
    <w:nsid w:val="459B0620"/>
    <w:multiLevelType w:val="hybridMultilevel"/>
    <w:tmpl w:val="924CE8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26365"/>
    <w:multiLevelType w:val="singleLevel"/>
    <w:tmpl w:val="C47A2BF0"/>
    <w:lvl w:ilvl="0">
      <w:start w:val="2"/>
      <w:numFmt w:val="decimal"/>
      <w:lvlText w:val="-"/>
      <w:lvlJc w:val="left"/>
      <w:pPr>
        <w:tabs>
          <w:tab w:val="num" w:pos="720"/>
        </w:tabs>
        <w:ind w:left="720" w:hanging="720"/>
      </w:pPr>
      <w:rPr>
        <w:rFonts w:ascii="Times New Roman" w:hAnsi="Times New Roman" w:hint="default"/>
        <w:b/>
      </w:rPr>
    </w:lvl>
  </w:abstractNum>
  <w:abstractNum w:abstractNumId="10" w15:restartNumberingAfterBreak="0">
    <w:nsid w:val="557E0F35"/>
    <w:multiLevelType w:val="singleLevel"/>
    <w:tmpl w:val="4912BCA6"/>
    <w:lvl w:ilvl="0">
      <w:start w:val="1"/>
      <w:numFmt w:val="upperRoman"/>
      <w:lvlText w:val="%1. "/>
      <w:legacy w:legacy="1" w:legacySpace="0" w:legacyIndent="360"/>
      <w:lvlJc w:val="left"/>
      <w:pPr>
        <w:ind w:left="360" w:hanging="360"/>
      </w:pPr>
      <w:rPr>
        <w:rFonts w:ascii="Arial" w:hAnsi="Arial" w:hint="default"/>
        <w:b w:val="0"/>
        <w:i w:val="0"/>
        <w:sz w:val="22"/>
        <w:u w:val="none"/>
      </w:rPr>
    </w:lvl>
  </w:abstractNum>
  <w:abstractNum w:abstractNumId="11" w15:restartNumberingAfterBreak="0">
    <w:nsid w:val="60B07C4D"/>
    <w:multiLevelType w:val="hybridMultilevel"/>
    <w:tmpl w:val="9338427A"/>
    <w:lvl w:ilvl="0" w:tplc="B0508CA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A774A"/>
    <w:multiLevelType w:val="singleLevel"/>
    <w:tmpl w:val="3C747F1C"/>
    <w:lvl w:ilvl="0">
      <w:start w:val="2"/>
      <w:numFmt w:val="decimal"/>
      <w:lvlText w:val="-"/>
      <w:lvlJc w:val="left"/>
      <w:pPr>
        <w:tabs>
          <w:tab w:val="num" w:pos="720"/>
        </w:tabs>
        <w:ind w:left="720" w:hanging="720"/>
      </w:pPr>
      <w:rPr>
        <w:rFonts w:ascii="Times New Roman" w:hAnsi="Times New Roman" w:hint="default"/>
        <w:b/>
      </w:rPr>
    </w:lvl>
  </w:abstractNum>
  <w:abstractNum w:abstractNumId="13" w15:restartNumberingAfterBreak="0">
    <w:nsid w:val="76FA259E"/>
    <w:multiLevelType w:val="singleLevel"/>
    <w:tmpl w:val="B218D68E"/>
    <w:lvl w:ilvl="0">
      <w:start w:val="2"/>
      <w:numFmt w:val="decimal"/>
      <w:lvlText w:val="-"/>
      <w:lvlJc w:val="left"/>
      <w:pPr>
        <w:tabs>
          <w:tab w:val="num" w:pos="720"/>
        </w:tabs>
        <w:ind w:left="720" w:hanging="720"/>
      </w:pPr>
      <w:rPr>
        <w:rFonts w:ascii="Times New Roman" w:hAnsi="Times New Roman" w:hint="default"/>
      </w:rPr>
    </w:lvl>
  </w:abstractNum>
  <w:abstractNum w:abstractNumId="14" w15:restartNumberingAfterBreak="0">
    <w:nsid w:val="7EAC6315"/>
    <w:multiLevelType w:val="singleLevel"/>
    <w:tmpl w:val="C1A2EB9A"/>
    <w:lvl w:ilvl="0">
      <w:start w:val="2"/>
      <w:numFmt w:val="decimal"/>
      <w:lvlText w:val="-"/>
      <w:lvlJc w:val="left"/>
      <w:pPr>
        <w:tabs>
          <w:tab w:val="num" w:pos="720"/>
        </w:tabs>
        <w:ind w:left="720" w:hanging="720"/>
      </w:pPr>
      <w:rPr>
        <w:rFonts w:ascii="Times New Roman" w:hAnsi="Times New Roman" w:hint="default"/>
        <w:b/>
      </w:rPr>
    </w:lvl>
  </w:abstractNum>
  <w:num w:numId="1">
    <w:abstractNumId w:val="1"/>
  </w:num>
  <w:num w:numId="2">
    <w:abstractNumId w:val="11"/>
  </w:num>
  <w:num w:numId="3">
    <w:abstractNumId w:val="8"/>
  </w:num>
  <w:num w:numId="4">
    <w:abstractNumId w:val="3"/>
  </w:num>
  <w:num w:numId="5">
    <w:abstractNumId w:val="0"/>
  </w:num>
  <w:num w:numId="6">
    <w:abstractNumId w:val="6"/>
  </w:num>
  <w:num w:numId="7">
    <w:abstractNumId w:val="10"/>
  </w:num>
  <w:num w:numId="8">
    <w:abstractNumId w:val="12"/>
  </w:num>
  <w:num w:numId="9">
    <w:abstractNumId w:val="4"/>
  </w:num>
  <w:num w:numId="10">
    <w:abstractNumId w:val="9"/>
  </w:num>
  <w:num w:numId="11">
    <w:abstractNumId w:val="2"/>
  </w:num>
  <w:num w:numId="12">
    <w:abstractNumId w:val="5"/>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wNjKytDAzNDaxMDRV0lEKTi0uzszPAykwMq0FAF/tHp0tAAAA"/>
  </w:docVars>
  <w:rsids>
    <w:rsidRoot w:val="00305805"/>
    <w:rsid w:val="00000471"/>
    <w:rsid w:val="000006BE"/>
    <w:rsid w:val="00002323"/>
    <w:rsid w:val="00004420"/>
    <w:rsid w:val="00004FFB"/>
    <w:rsid w:val="00005F92"/>
    <w:rsid w:val="00006ECA"/>
    <w:rsid w:val="00010A50"/>
    <w:rsid w:val="000138AB"/>
    <w:rsid w:val="000155E5"/>
    <w:rsid w:val="0001656C"/>
    <w:rsid w:val="000165C2"/>
    <w:rsid w:val="000257D7"/>
    <w:rsid w:val="00027C56"/>
    <w:rsid w:val="00027FE9"/>
    <w:rsid w:val="0003078D"/>
    <w:rsid w:val="00032BB3"/>
    <w:rsid w:val="00044CF5"/>
    <w:rsid w:val="000453B0"/>
    <w:rsid w:val="00054974"/>
    <w:rsid w:val="0005618C"/>
    <w:rsid w:val="00060366"/>
    <w:rsid w:val="00060497"/>
    <w:rsid w:val="00062906"/>
    <w:rsid w:val="00064EF7"/>
    <w:rsid w:val="000701B9"/>
    <w:rsid w:val="00070813"/>
    <w:rsid w:val="00070889"/>
    <w:rsid w:val="000745E2"/>
    <w:rsid w:val="00075EB4"/>
    <w:rsid w:val="0008245B"/>
    <w:rsid w:val="000913D6"/>
    <w:rsid w:val="00091554"/>
    <w:rsid w:val="00091DA0"/>
    <w:rsid w:val="00097E13"/>
    <w:rsid w:val="000A1E36"/>
    <w:rsid w:val="000A1FCC"/>
    <w:rsid w:val="000A4D6B"/>
    <w:rsid w:val="000A654D"/>
    <w:rsid w:val="000A67D0"/>
    <w:rsid w:val="000B1940"/>
    <w:rsid w:val="000B2862"/>
    <w:rsid w:val="000B3B75"/>
    <w:rsid w:val="000B79E0"/>
    <w:rsid w:val="000D10F0"/>
    <w:rsid w:val="000D2848"/>
    <w:rsid w:val="000D3226"/>
    <w:rsid w:val="000D3CC3"/>
    <w:rsid w:val="000D461D"/>
    <w:rsid w:val="000D591B"/>
    <w:rsid w:val="000E1231"/>
    <w:rsid w:val="000E1430"/>
    <w:rsid w:val="000E3483"/>
    <w:rsid w:val="000F1D3E"/>
    <w:rsid w:val="000F3EA1"/>
    <w:rsid w:val="000F50FB"/>
    <w:rsid w:val="000F5AD4"/>
    <w:rsid w:val="000F5B1A"/>
    <w:rsid w:val="000F7027"/>
    <w:rsid w:val="00100301"/>
    <w:rsid w:val="00100B25"/>
    <w:rsid w:val="00101F3B"/>
    <w:rsid w:val="0010756E"/>
    <w:rsid w:val="00107C67"/>
    <w:rsid w:val="00111D30"/>
    <w:rsid w:val="001126E2"/>
    <w:rsid w:val="00113B3A"/>
    <w:rsid w:val="00116449"/>
    <w:rsid w:val="00116464"/>
    <w:rsid w:val="00117F94"/>
    <w:rsid w:val="001221D5"/>
    <w:rsid w:val="001221FE"/>
    <w:rsid w:val="001263EB"/>
    <w:rsid w:val="00127DAB"/>
    <w:rsid w:val="0013219D"/>
    <w:rsid w:val="0013296F"/>
    <w:rsid w:val="0013356F"/>
    <w:rsid w:val="00133C59"/>
    <w:rsid w:val="001402D7"/>
    <w:rsid w:val="00144339"/>
    <w:rsid w:val="00146958"/>
    <w:rsid w:val="00147A46"/>
    <w:rsid w:val="0015139A"/>
    <w:rsid w:val="001522F9"/>
    <w:rsid w:val="00152B36"/>
    <w:rsid w:val="00153528"/>
    <w:rsid w:val="001627F7"/>
    <w:rsid w:val="001658BB"/>
    <w:rsid w:val="00165C6B"/>
    <w:rsid w:val="00166CA6"/>
    <w:rsid w:val="00167591"/>
    <w:rsid w:val="001703D5"/>
    <w:rsid w:val="00173E26"/>
    <w:rsid w:val="001746BA"/>
    <w:rsid w:val="00176217"/>
    <w:rsid w:val="00176B6D"/>
    <w:rsid w:val="001910BA"/>
    <w:rsid w:val="00192B5B"/>
    <w:rsid w:val="001A01AB"/>
    <w:rsid w:val="001A1536"/>
    <w:rsid w:val="001A394B"/>
    <w:rsid w:val="001A3A64"/>
    <w:rsid w:val="001B2344"/>
    <w:rsid w:val="001B53FF"/>
    <w:rsid w:val="001C234F"/>
    <w:rsid w:val="001C401D"/>
    <w:rsid w:val="001C7359"/>
    <w:rsid w:val="001D07A4"/>
    <w:rsid w:val="001D69EF"/>
    <w:rsid w:val="001E1ACB"/>
    <w:rsid w:val="001E312B"/>
    <w:rsid w:val="001E4EBD"/>
    <w:rsid w:val="001F04CB"/>
    <w:rsid w:val="001F131B"/>
    <w:rsid w:val="001F1793"/>
    <w:rsid w:val="001F2270"/>
    <w:rsid w:val="001F5427"/>
    <w:rsid w:val="001F5BAE"/>
    <w:rsid w:val="001F7078"/>
    <w:rsid w:val="001F71E0"/>
    <w:rsid w:val="00207FE6"/>
    <w:rsid w:val="002112B6"/>
    <w:rsid w:val="002127B8"/>
    <w:rsid w:val="00212FD7"/>
    <w:rsid w:val="00217885"/>
    <w:rsid w:val="002178F6"/>
    <w:rsid w:val="0022059A"/>
    <w:rsid w:val="00224058"/>
    <w:rsid w:val="002346E0"/>
    <w:rsid w:val="002406E9"/>
    <w:rsid w:val="00244591"/>
    <w:rsid w:val="00253BE6"/>
    <w:rsid w:val="00255E1D"/>
    <w:rsid w:val="00263E49"/>
    <w:rsid w:val="002642E3"/>
    <w:rsid w:val="002705B4"/>
    <w:rsid w:val="00272B42"/>
    <w:rsid w:val="00276126"/>
    <w:rsid w:val="00280915"/>
    <w:rsid w:val="002818B5"/>
    <w:rsid w:val="00284510"/>
    <w:rsid w:val="002878C5"/>
    <w:rsid w:val="00287F5D"/>
    <w:rsid w:val="00290694"/>
    <w:rsid w:val="00297D09"/>
    <w:rsid w:val="002A0828"/>
    <w:rsid w:val="002A0B19"/>
    <w:rsid w:val="002A1311"/>
    <w:rsid w:val="002A2736"/>
    <w:rsid w:val="002A31B7"/>
    <w:rsid w:val="002A387B"/>
    <w:rsid w:val="002A5B47"/>
    <w:rsid w:val="002A6D71"/>
    <w:rsid w:val="002A7120"/>
    <w:rsid w:val="002B2E3F"/>
    <w:rsid w:val="002B7586"/>
    <w:rsid w:val="002C4700"/>
    <w:rsid w:val="002C75E7"/>
    <w:rsid w:val="002D0849"/>
    <w:rsid w:val="002D3995"/>
    <w:rsid w:val="002D4484"/>
    <w:rsid w:val="002D6C61"/>
    <w:rsid w:val="002F3406"/>
    <w:rsid w:val="002F3B56"/>
    <w:rsid w:val="002F4709"/>
    <w:rsid w:val="002F4F2E"/>
    <w:rsid w:val="00305805"/>
    <w:rsid w:val="0030612C"/>
    <w:rsid w:val="00307080"/>
    <w:rsid w:val="00320C7F"/>
    <w:rsid w:val="0032432D"/>
    <w:rsid w:val="0033156E"/>
    <w:rsid w:val="00332BDD"/>
    <w:rsid w:val="00333B1D"/>
    <w:rsid w:val="00335EBA"/>
    <w:rsid w:val="00336526"/>
    <w:rsid w:val="00337EFC"/>
    <w:rsid w:val="0034127F"/>
    <w:rsid w:val="003419A5"/>
    <w:rsid w:val="00341C6A"/>
    <w:rsid w:val="00345A4C"/>
    <w:rsid w:val="003512F4"/>
    <w:rsid w:val="00356D4F"/>
    <w:rsid w:val="003605FD"/>
    <w:rsid w:val="0036148A"/>
    <w:rsid w:val="003618B8"/>
    <w:rsid w:val="00361E73"/>
    <w:rsid w:val="00366D7A"/>
    <w:rsid w:val="0037061C"/>
    <w:rsid w:val="00370931"/>
    <w:rsid w:val="00373A70"/>
    <w:rsid w:val="00377069"/>
    <w:rsid w:val="003818F5"/>
    <w:rsid w:val="00390F9F"/>
    <w:rsid w:val="00395EFC"/>
    <w:rsid w:val="003A1E28"/>
    <w:rsid w:val="003A3398"/>
    <w:rsid w:val="003A3758"/>
    <w:rsid w:val="003B2DC2"/>
    <w:rsid w:val="003B5EAC"/>
    <w:rsid w:val="003B6369"/>
    <w:rsid w:val="003C07C4"/>
    <w:rsid w:val="003C2BF7"/>
    <w:rsid w:val="003C73C2"/>
    <w:rsid w:val="003D3D4D"/>
    <w:rsid w:val="003D50EB"/>
    <w:rsid w:val="003E209A"/>
    <w:rsid w:val="003E42F7"/>
    <w:rsid w:val="003E44AC"/>
    <w:rsid w:val="003E5ACF"/>
    <w:rsid w:val="003E7112"/>
    <w:rsid w:val="003F0980"/>
    <w:rsid w:val="003F25F0"/>
    <w:rsid w:val="003F397D"/>
    <w:rsid w:val="00404B81"/>
    <w:rsid w:val="00404CA5"/>
    <w:rsid w:val="00404FE9"/>
    <w:rsid w:val="004060D4"/>
    <w:rsid w:val="004112BD"/>
    <w:rsid w:val="00412E89"/>
    <w:rsid w:val="00413EE5"/>
    <w:rsid w:val="00415A4B"/>
    <w:rsid w:val="00420DF7"/>
    <w:rsid w:val="00423143"/>
    <w:rsid w:val="00423A92"/>
    <w:rsid w:val="00423DEF"/>
    <w:rsid w:val="00426DD2"/>
    <w:rsid w:val="00427F39"/>
    <w:rsid w:val="004342FF"/>
    <w:rsid w:val="00435917"/>
    <w:rsid w:val="00436305"/>
    <w:rsid w:val="00440836"/>
    <w:rsid w:val="0044224C"/>
    <w:rsid w:val="00445EC3"/>
    <w:rsid w:val="00446679"/>
    <w:rsid w:val="004545E1"/>
    <w:rsid w:val="0046193F"/>
    <w:rsid w:val="0046261D"/>
    <w:rsid w:val="0046598E"/>
    <w:rsid w:val="00471CE4"/>
    <w:rsid w:val="00472718"/>
    <w:rsid w:val="004757EC"/>
    <w:rsid w:val="00480757"/>
    <w:rsid w:val="004826D0"/>
    <w:rsid w:val="00482A48"/>
    <w:rsid w:val="004856D6"/>
    <w:rsid w:val="00486467"/>
    <w:rsid w:val="00487C8A"/>
    <w:rsid w:val="004902E4"/>
    <w:rsid w:val="0049171B"/>
    <w:rsid w:val="00492776"/>
    <w:rsid w:val="004A2ADD"/>
    <w:rsid w:val="004A3046"/>
    <w:rsid w:val="004A30E8"/>
    <w:rsid w:val="004A4C0C"/>
    <w:rsid w:val="004A59D2"/>
    <w:rsid w:val="004B56A9"/>
    <w:rsid w:val="004B5E83"/>
    <w:rsid w:val="004B7C34"/>
    <w:rsid w:val="004C058C"/>
    <w:rsid w:val="004C067A"/>
    <w:rsid w:val="004C3739"/>
    <w:rsid w:val="004C4D6D"/>
    <w:rsid w:val="004C4ECE"/>
    <w:rsid w:val="004C6851"/>
    <w:rsid w:val="004D2E9C"/>
    <w:rsid w:val="004D4D00"/>
    <w:rsid w:val="004E6EB8"/>
    <w:rsid w:val="004F132C"/>
    <w:rsid w:val="004F4981"/>
    <w:rsid w:val="004F51FD"/>
    <w:rsid w:val="004F55D3"/>
    <w:rsid w:val="004F6F65"/>
    <w:rsid w:val="004F74D8"/>
    <w:rsid w:val="005000D1"/>
    <w:rsid w:val="005038B0"/>
    <w:rsid w:val="005052B7"/>
    <w:rsid w:val="00521683"/>
    <w:rsid w:val="00522082"/>
    <w:rsid w:val="0052535C"/>
    <w:rsid w:val="00527937"/>
    <w:rsid w:val="0053157E"/>
    <w:rsid w:val="00531AAB"/>
    <w:rsid w:val="00532607"/>
    <w:rsid w:val="00541A9D"/>
    <w:rsid w:val="0055384C"/>
    <w:rsid w:val="00553B00"/>
    <w:rsid w:val="005541AA"/>
    <w:rsid w:val="005563BB"/>
    <w:rsid w:val="00556EFA"/>
    <w:rsid w:val="00557BE5"/>
    <w:rsid w:val="0056599C"/>
    <w:rsid w:val="00565E7E"/>
    <w:rsid w:val="00567F13"/>
    <w:rsid w:val="00570BAE"/>
    <w:rsid w:val="0057155E"/>
    <w:rsid w:val="0057168A"/>
    <w:rsid w:val="00573B2C"/>
    <w:rsid w:val="005758A1"/>
    <w:rsid w:val="00576A02"/>
    <w:rsid w:val="00576B8A"/>
    <w:rsid w:val="0058093E"/>
    <w:rsid w:val="00581B9C"/>
    <w:rsid w:val="00581EF7"/>
    <w:rsid w:val="00582ED4"/>
    <w:rsid w:val="00587C5D"/>
    <w:rsid w:val="00591F6A"/>
    <w:rsid w:val="00594F7F"/>
    <w:rsid w:val="00596207"/>
    <w:rsid w:val="005A5369"/>
    <w:rsid w:val="005B18D0"/>
    <w:rsid w:val="005B5C29"/>
    <w:rsid w:val="005C2B64"/>
    <w:rsid w:val="005C2C21"/>
    <w:rsid w:val="005C54A2"/>
    <w:rsid w:val="005C55E2"/>
    <w:rsid w:val="005D0356"/>
    <w:rsid w:val="005D4328"/>
    <w:rsid w:val="005D584B"/>
    <w:rsid w:val="005D5D6D"/>
    <w:rsid w:val="005D695F"/>
    <w:rsid w:val="005D7041"/>
    <w:rsid w:val="005E17EB"/>
    <w:rsid w:val="005F28A0"/>
    <w:rsid w:val="005F521B"/>
    <w:rsid w:val="005F6A3C"/>
    <w:rsid w:val="005F6FC0"/>
    <w:rsid w:val="00601712"/>
    <w:rsid w:val="006141A0"/>
    <w:rsid w:val="006147D0"/>
    <w:rsid w:val="00614B12"/>
    <w:rsid w:val="00616601"/>
    <w:rsid w:val="00617292"/>
    <w:rsid w:val="00617655"/>
    <w:rsid w:val="0062038E"/>
    <w:rsid w:val="006208F7"/>
    <w:rsid w:val="00627F5D"/>
    <w:rsid w:val="006305CA"/>
    <w:rsid w:val="0063141E"/>
    <w:rsid w:val="00632C8A"/>
    <w:rsid w:val="00632D2C"/>
    <w:rsid w:val="006338B5"/>
    <w:rsid w:val="0063760B"/>
    <w:rsid w:val="00640B0D"/>
    <w:rsid w:val="006416EB"/>
    <w:rsid w:val="00642917"/>
    <w:rsid w:val="00644EAD"/>
    <w:rsid w:val="00651124"/>
    <w:rsid w:val="0065204C"/>
    <w:rsid w:val="0065562D"/>
    <w:rsid w:val="0065661E"/>
    <w:rsid w:val="00656EEE"/>
    <w:rsid w:val="00657476"/>
    <w:rsid w:val="00665A57"/>
    <w:rsid w:val="0067467E"/>
    <w:rsid w:val="00674EB4"/>
    <w:rsid w:val="00675163"/>
    <w:rsid w:val="0068151A"/>
    <w:rsid w:val="00683435"/>
    <w:rsid w:val="00683551"/>
    <w:rsid w:val="00684C0A"/>
    <w:rsid w:val="006854AE"/>
    <w:rsid w:val="006871C5"/>
    <w:rsid w:val="006901C1"/>
    <w:rsid w:val="00691E1F"/>
    <w:rsid w:val="0069652E"/>
    <w:rsid w:val="006A2B19"/>
    <w:rsid w:val="006A47D0"/>
    <w:rsid w:val="006B1C58"/>
    <w:rsid w:val="006B26EA"/>
    <w:rsid w:val="006B4B7D"/>
    <w:rsid w:val="006B60EE"/>
    <w:rsid w:val="006B6454"/>
    <w:rsid w:val="006B658B"/>
    <w:rsid w:val="006B6958"/>
    <w:rsid w:val="006B6D3C"/>
    <w:rsid w:val="006C10D3"/>
    <w:rsid w:val="006C46B7"/>
    <w:rsid w:val="006C6B3F"/>
    <w:rsid w:val="006E202A"/>
    <w:rsid w:val="006E29B3"/>
    <w:rsid w:val="006E455E"/>
    <w:rsid w:val="006F27AE"/>
    <w:rsid w:val="006F2EA4"/>
    <w:rsid w:val="006F3B81"/>
    <w:rsid w:val="006F3E18"/>
    <w:rsid w:val="006F45BA"/>
    <w:rsid w:val="006F7B62"/>
    <w:rsid w:val="007046D4"/>
    <w:rsid w:val="00705077"/>
    <w:rsid w:val="00705A5E"/>
    <w:rsid w:val="00711ADE"/>
    <w:rsid w:val="00711F0D"/>
    <w:rsid w:val="00712E38"/>
    <w:rsid w:val="00716E32"/>
    <w:rsid w:val="00720FFF"/>
    <w:rsid w:val="00725E0F"/>
    <w:rsid w:val="00733618"/>
    <w:rsid w:val="00733A56"/>
    <w:rsid w:val="00735406"/>
    <w:rsid w:val="007370C5"/>
    <w:rsid w:val="00737FEA"/>
    <w:rsid w:val="00741764"/>
    <w:rsid w:val="00745A9E"/>
    <w:rsid w:val="00752227"/>
    <w:rsid w:val="00755938"/>
    <w:rsid w:val="00757610"/>
    <w:rsid w:val="00761D2F"/>
    <w:rsid w:val="00767917"/>
    <w:rsid w:val="007702AE"/>
    <w:rsid w:val="00773DED"/>
    <w:rsid w:val="00774FF2"/>
    <w:rsid w:val="00775BC3"/>
    <w:rsid w:val="00776459"/>
    <w:rsid w:val="007779FA"/>
    <w:rsid w:val="0078625F"/>
    <w:rsid w:val="00787510"/>
    <w:rsid w:val="0079707A"/>
    <w:rsid w:val="007A0818"/>
    <w:rsid w:val="007A0F94"/>
    <w:rsid w:val="007A3774"/>
    <w:rsid w:val="007A417F"/>
    <w:rsid w:val="007A4F56"/>
    <w:rsid w:val="007A7D3A"/>
    <w:rsid w:val="007B0FDF"/>
    <w:rsid w:val="007B2F32"/>
    <w:rsid w:val="007B49AF"/>
    <w:rsid w:val="007B57B2"/>
    <w:rsid w:val="007B7292"/>
    <w:rsid w:val="007C01CF"/>
    <w:rsid w:val="007C2468"/>
    <w:rsid w:val="007C4194"/>
    <w:rsid w:val="007C72F7"/>
    <w:rsid w:val="007D28C0"/>
    <w:rsid w:val="007E1A57"/>
    <w:rsid w:val="007E4053"/>
    <w:rsid w:val="007E49ED"/>
    <w:rsid w:val="007E5200"/>
    <w:rsid w:val="007E5941"/>
    <w:rsid w:val="007E7816"/>
    <w:rsid w:val="007F0FBD"/>
    <w:rsid w:val="007F1283"/>
    <w:rsid w:val="0080032E"/>
    <w:rsid w:val="00800811"/>
    <w:rsid w:val="00800BAC"/>
    <w:rsid w:val="00803FB0"/>
    <w:rsid w:val="0080582A"/>
    <w:rsid w:val="0080665F"/>
    <w:rsid w:val="00807440"/>
    <w:rsid w:val="00814E83"/>
    <w:rsid w:val="00815504"/>
    <w:rsid w:val="008162D8"/>
    <w:rsid w:val="00820F80"/>
    <w:rsid w:val="00825B5E"/>
    <w:rsid w:val="00827077"/>
    <w:rsid w:val="0083080B"/>
    <w:rsid w:val="0083484B"/>
    <w:rsid w:val="008353D7"/>
    <w:rsid w:val="008450ED"/>
    <w:rsid w:val="008456CD"/>
    <w:rsid w:val="00850B0D"/>
    <w:rsid w:val="00851EA3"/>
    <w:rsid w:val="00852DE3"/>
    <w:rsid w:val="008541F5"/>
    <w:rsid w:val="008551C9"/>
    <w:rsid w:val="00856031"/>
    <w:rsid w:val="0086201B"/>
    <w:rsid w:val="00863040"/>
    <w:rsid w:val="00863B12"/>
    <w:rsid w:val="00865709"/>
    <w:rsid w:val="00865946"/>
    <w:rsid w:val="00870E87"/>
    <w:rsid w:val="00874CB2"/>
    <w:rsid w:val="00880F96"/>
    <w:rsid w:val="008811B2"/>
    <w:rsid w:val="008813C6"/>
    <w:rsid w:val="00882013"/>
    <w:rsid w:val="008820DE"/>
    <w:rsid w:val="0088294E"/>
    <w:rsid w:val="00883486"/>
    <w:rsid w:val="00884A95"/>
    <w:rsid w:val="00885FBA"/>
    <w:rsid w:val="008A33AA"/>
    <w:rsid w:val="008B5107"/>
    <w:rsid w:val="008C523C"/>
    <w:rsid w:val="008D6BD6"/>
    <w:rsid w:val="008E0F0C"/>
    <w:rsid w:val="008E2C40"/>
    <w:rsid w:val="008E4434"/>
    <w:rsid w:val="008F3D96"/>
    <w:rsid w:val="008F4723"/>
    <w:rsid w:val="00903190"/>
    <w:rsid w:val="00903329"/>
    <w:rsid w:val="00914411"/>
    <w:rsid w:val="00916275"/>
    <w:rsid w:val="009233EA"/>
    <w:rsid w:val="00930C70"/>
    <w:rsid w:val="00930D17"/>
    <w:rsid w:val="009372A3"/>
    <w:rsid w:val="00941904"/>
    <w:rsid w:val="009434DE"/>
    <w:rsid w:val="00943E0B"/>
    <w:rsid w:val="00952ED9"/>
    <w:rsid w:val="0095379C"/>
    <w:rsid w:val="00955450"/>
    <w:rsid w:val="00956774"/>
    <w:rsid w:val="0095757E"/>
    <w:rsid w:val="0096154D"/>
    <w:rsid w:val="00961755"/>
    <w:rsid w:val="0096246A"/>
    <w:rsid w:val="00966B82"/>
    <w:rsid w:val="0097197A"/>
    <w:rsid w:val="009743D6"/>
    <w:rsid w:val="00987737"/>
    <w:rsid w:val="0098796C"/>
    <w:rsid w:val="00994D5E"/>
    <w:rsid w:val="00996D0C"/>
    <w:rsid w:val="009971F1"/>
    <w:rsid w:val="009976BE"/>
    <w:rsid w:val="009A2185"/>
    <w:rsid w:val="009A2F31"/>
    <w:rsid w:val="009A76F6"/>
    <w:rsid w:val="009B0410"/>
    <w:rsid w:val="009B21ED"/>
    <w:rsid w:val="009B2D7E"/>
    <w:rsid w:val="009B55F1"/>
    <w:rsid w:val="009B5ED5"/>
    <w:rsid w:val="009C0A7D"/>
    <w:rsid w:val="009C23C4"/>
    <w:rsid w:val="009C3217"/>
    <w:rsid w:val="009C4E1A"/>
    <w:rsid w:val="009C612A"/>
    <w:rsid w:val="009D0BAB"/>
    <w:rsid w:val="009D2068"/>
    <w:rsid w:val="009D4AAB"/>
    <w:rsid w:val="009D61ED"/>
    <w:rsid w:val="009D7740"/>
    <w:rsid w:val="009E4678"/>
    <w:rsid w:val="009F5A93"/>
    <w:rsid w:val="00A03EE8"/>
    <w:rsid w:val="00A03FF4"/>
    <w:rsid w:val="00A04BD2"/>
    <w:rsid w:val="00A06165"/>
    <w:rsid w:val="00A065E3"/>
    <w:rsid w:val="00A068D0"/>
    <w:rsid w:val="00A06F46"/>
    <w:rsid w:val="00A103AF"/>
    <w:rsid w:val="00A122A4"/>
    <w:rsid w:val="00A12B3E"/>
    <w:rsid w:val="00A131FF"/>
    <w:rsid w:val="00A23020"/>
    <w:rsid w:val="00A25794"/>
    <w:rsid w:val="00A25A39"/>
    <w:rsid w:val="00A27C5F"/>
    <w:rsid w:val="00A36983"/>
    <w:rsid w:val="00A36E3D"/>
    <w:rsid w:val="00A37E44"/>
    <w:rsid w:val="00A40195"/>
    <w:rsid w:val="00A45E91"/>
    <w:rsid w:val="00A60D36"/>
    <w:rsid w:val="00A6258A"/>
    <w:rsid w:val="00A6343B"/>
    <w:rsid w:val="00A63AB0"/>
    <w:rsid w:val="00A6418F"/>
    <w:rsid w:val="00A6757F"/>
    <w:rsid w:val="00A71444"/>
    <w:rsid w:val="00A832F6"/>
    <w:rsid w:val="00A84593"/>
    <w:rsid w:val="00A84AB1"/>
    <w:rsid w:val="00A902B7"/>
    <w:rsid w:val="00A9261C"/>
    <w:rsid w:val="00A93882"/>
    <w:rsid w:val="00A952E2"/>
    <w:rsid w:val="00A9595B"/>
    <w:rsid w:val="00A97670"/>
    <w:rsid w:val="00A97D02"/>
    <w:rsid w:val="00AA085D"/>
    <w:rsid w:val="00AA1D74"/>
    <w:rsid w:val="00AA6FC0"/>
    <w:rsid w:val="00AB2A70"/>
    <w:rsid w:val="00AC286A"/>
    <w:rsid w:val="00AC5122"/>
    <w:rsid w:val="00AC6027"/>
    <w:rsid w:val="00AC6ED0"/>
    <w:rsid w:val="00AD39B3"/>
    <w:rsid w:val="00AD647D"/>
    <w:rsid w:val="00AE2D23"/>
    <w:rsid w:val="00AE37BF"/>
    <w:rsid w:val="00AE49CD"/>
    <w:rsid w:val="00AF32A8"/>
    <w:rsid w:val="00AF72DB"/>
    <w:rsid w:val="00AF76B3"/>
    <w:rsid w:val="00B01B01"/>
    <w:rsid w:val="00B04836"/>
    <w:rsid w:val="00B06996"/>
    <w:rsid w:val="00B10D07"/>
    <w:rsid w:val="00B10D60"/>
    <w:rsid w:val="00B12123"/>
    <w:rsid w:val="00B135C5"/>
    <w:rsid w:val="00B14E17"/>
    <w:rsid w:val="00B15028"/>
    <w:rsid w:val="00B1566F"/>
    <w:rsid w:val="00B15F30"/>
    <w:rsid w:val="00B169BF"/>
    <w:rsid w:val="00B21961"/>
    <w:rsid w:val="00B219E8"/>
    <w:rsid w:val="00B26705"/>
    <w:rsid w:val="00B35DE5"/>
    <w:rsid w:val="00B36B74"/>
    <w:rsid w:val="00B36BCF"/>
    <w:rsid w:val="00B37B52"/>
    <w:rsid w:val="00B37B7C"/>
    <w:rsid w:val="00B4729C"/>
    <w:rsid w:val="00B50126"/>
    <w:rsid w:val="00B509A7"/>
    <w:rsid w:val="00B5359A"/>
    <w:rsid w:val="00B537DF"/>
    <w:rsid w:val="00B600F0"/>
    <w:rsid w:val="00B66077"/>
    <w:rsid w:val="00B704DF"/>
    <w:rsid w:val="00B722AA"/>
    <w:rsid w:val="00B73485"/>
    <w:rsid w:val="00B8286E"/>
    <w:rsid w:val="00B833E6"/>
    <w:rsid w:val="00B87212"/>
    <w:rsid w:val="00B9026F"/>
    <w:rsid w:val="00B91EB8"/>
    <w:rsid w:val="00B9247A"/>
    <w:rsid w:val="00B95997"/>
    <w:rsid w:val="00B97355"/>
    <w:rsid w:val="00B9788B"/>
    <w:rsid w:val="00BA086E"/>
    <w:rsid w:val="00BA23A1"/>
    <w:rsid w:val="00BA45C0"/>
    <w:rsid w:val="00BB71FA"/>
    <w:rsid w:val="00BC45C2"/>
    <w:rsid w:val="00BC6937"/>
    <w:rsid w:val="00BD2272"/>
    <w:rsid w:val="00BE0121"/>
    <w:rsid w:val="00BE046A"/>
    <w:rsid w:val="00BE4430"/>
    <w:rsid w:val="00BE5A83"/>
    <w:rsid w:val="00BE5AE6"/>
    <w:rsid w:val="00BF0A90"/>
    <w:rsid w:val="00C00929"/>
    <w:rsid w:val="00C009FF"/>
    <w:rsid w:val="00C02559"/>
    <w:rsid w:val="00C02869"/>
    <w:rsid w:val="00C03B1F"/>
    <w:rsid w:val="00C054AE"/>
    <w:rsid w:val="00C059B0"/>
    <w:rsid w:val="00C06E4F"/>
    <w:rsid w:val="00C07984"/>
    <w:rsid w:val="00C07A6F"/>
    <w:rsid w:val="00C14754"/>
    <w:rsid w:val="00C20CDB"/>
    <w:rsid w:val="00C220FD"/>
    <w:rsid w:val="00C22891"/>
    <w:rsid w:val="00C236F2"/>
    <w:rsid w:val="00C27AA0"/>
    <w:rsid w:val="00C3065B"/>
    <w:rsid w:val="00C31F86"/>
    <w:rsid w:val="00C321CA"/>
    <w:rsid w:val="00C32F9F"/>
    <w:rsid w:val="00C33283"/>
    <w:rsid w:val="00C3491E"/>
    <w:rsid w:val="00C4377D"/>
    <w:rsid w:val="00C44A12"/>
    <w:rsid w:val="00C47628"/>
    <w:rsid w:val="00C51B88"/>
    <w:rsid w:val="00C53D6E"/>
    <w:rsid w:val="00C5597D"/>
    <w:rsid w:val="00C56B11"/>
    <w:rsid w:val="00C57698"/>
    <w:rsid w:val="00C6485C"/>
    <w:rsid w:val="00C66807"/>
    <w:rsid w:val="00C6759A"/>
    <w:rsid w:val="00C70B86"/>
    <w:rsid w:val="00C75409"/>
    <w:rsid w:val="00C772F7"/>
    <w:rsid w:val="00C85217"/>
    <w:rsid w:val="00C91576"/>
    <w:rsid w:val="00C92713"/>
    <w:rsid w:val="00C94002"/>
    <w:rsid w:val="00C977A7"/>
    <w:rsid w:val="00CA2311"/>
    <w:rsid w:val="00CA7A4F"/>
    <w:rsid w:val="00CB06BD"/>
    <w:rsid w:val="00CB60FA"/>
    <w:rsid w:val="00CC007D"/>
    <w:rsid w:val="00CC2D9F"/>
    <w:rsid w:val="00CC488B"/>
    <w:rsid w:val="00CC4AE0"/>
    <w:rsid w:val="00CC697A"/>
    <w:rsid w:val="00CC781E"/>
    <w:rsid w:val="00CD013A"/>
    <w:rsid w:val="00CD4A7E"/>
    <w:rsid w:val="00CE4E25"/>
    <w:rsid w:val="00CE514F"/>
    <w:rsid w:val="00CE76CA"/>
    <w:rsid w:val="00CE7A84"/>
    <w:rsid w:val="00CF07F1"/>
    <w:rsid w:val="00CF2FA7"/>
    <w:rsid w:val="00D00E7A"/>
    <w:rsid w:val="00D05469"/>
    <w:rsid w:val="00D05F11"/>
    <w:rsid w:val="00D0759A"/>
    <w:rsid w:val="00D15944"/>
    <w:rsid w:val="00D175C4"/>
    <w:rsid w:val="00D20214"/>
    <w:rsid w:val="00D20A33"/>
    <w:rsid w:val="00D256AD"/>
    <w:rsid w:val="00D26383"/>
    <w:rsid w:val="00D274C1"/>
    <w:rsid w:val="00D3157A"/>
    <w:rsid w:val="00D33E77"/>
    <w:rsid w:val="00D35DE2"/>
    <w:rsid w:val="00D360AB"/>
    <w:rsid w:val="00D43947"/>
    <w:rsid w:val="00D47FF6"/>
    <w:rsid w:val="00D50856"/>
    <w:rsid w:val="00D50E2D"/>
    <w:rsid w:val="00D523F0"/>
    <w:rsid w:val="00D56338"/>
    <w:rsid w:val="00D57A94"/>
    <w:rsid w:val="00D609A4"/>
    <w:rsid w:val="00D611CD"/>
    <w:rsid w:val="00D625F4"/>
    <w:rsid w:val="00D72703"/>
    <w:rsid w:val="00D72DA7"/>
    <w:rsid w:val="00D7367C"/>
    <w:rsid w:val="00D76CC6"/>
    <w:rsid w:val="00D902C5"/>
    <w:rsid w:val="00D90E56"/>
    <w:rsid w:val="00D91272"/>
    <w:rsid w:val="00D922EE"/>
    <w:rsid w:val="00D9246C"/>
    <w:rsid w:val="00D941DE"/>
    <w:rsid w:val="00D954A4"/>
    <w:rsid w:val="00D956D1"/>
    <w:rsid w:val="00D957C8"/>
    <w:rsid w:val="00D95D89"/>
    <w:rsid w:val="00D9700F"/>
    <w:rsid w:val="00DA6870"/>
    <w:rsid w:val="00DB01DA"/>
    <w:rsid w:val="00DB110E"/>
    <w:rsid w:val="00DB1894"/>
    <w:rsid w:val="00DB43B9"/>
    <w:rsid w:val="00DB4F31"/>
    <w:rsid w:val="00DB5158"/>
    <w:rsid w:val="00DB5D8A"/>
    <w:rsid w:val="00DB7F3A"/>
    <w:rsid w:val="00DC11FA"/>
    <w:rsid w:val="00DC2AC7"/>
    <w:rsid w:val="00DC2D74"/>
    <w:rsid w:val="00DD1AD8"/>
    <w:rsid w:val="00DD4D8F"/>
    <w:rsid w:val="00DD64F8"/>
    <w:rsid w:val="00DD6507"/>
    <w:rsid w:val="00DD7DD1"/>
    <w:rsid w:val="00DE1F45"/>
    <w:rsid w:val="00DE757B"/>
    <w:rsid w:val="00DF3D69"/>
    <w:rsid w:val="00DF3D75"/>
    <w:rsid w:val="00DF4E3A"/>
    <w:rsid w:val="00E01378"/>
    <w:rsid w:val="00E02994"/>
    <w:rsid w:val="00E12944"/>
    <w:rsid w:val="00E13CF7"/>
    <w:rsid w:val="00E16080"/>
    <w:rsid w:val="00E16B52"/>
    <w:rsid w:val="00E178F7"/>
    <w:rsid w:val="00E2076A"/>
    <w:rsid w:val="00E20811"/>
    <w:rsid w:val="00E2171B"/>
    <w:rsid w:val="00E30885"/>
    <w:rsid w:val="00E30940"/>
    <w:rsid w:val="00E3597A"/>
    <w:rsid w:val="00E37C8C"/>
    <w:rsid w:val="00E37FAF"/>
    <w:rsid w:val="00E43AAB"/>
    <w:rsid w:val="00E52CD2"/>
    <w:rsid w:val="00E536CD"/>
    <w:rsid w:val="00E5451B"/>
    <w:rsid w:val="00E55C7F"/>
    <w:rsid w:val="00E55D03"/>
    <w:rsid w:val="00E55EBA"/>
    <w:rsid w:val="00E563B6"/>
    <w:rsid w:val="00E66EB6"/>
    <w:rsid w:val="00E70451"/>
    <w:rsid w:val="00E73C2B"/>
    <w:rsid w:val="00E73C67"/>
    <w:rsid w:val="00E75C41"/>
    <w:rsid w:val="00E761E5"/>
    <w:rsid w:val="00E824C1"/>
    <w:rsid w:val="00E835D8"/>
    <w:rsid w:val="00E86234"/>
    <w:rsid w:val="00E86F32"/>
    <w:rsid w:val="00E9073A"/>
    <w:rsid w:val="00E938CA"/>
    <w:rsid w:val="00E94CB8"/>
    <w:rsid w:val="00EA0276"/>
    <w:rsid w:val="00EA50E4"/>
    <w:rsid w:val="00EA7BB9"/>
    <w:rsid w:val="00EB625D"/>
    <w:rsid w:val="00EC1501"/>
    <w:rsid w:val="00EC3826"/>
    <w:rsid w:val="00EC4C88"/>
    <w:rsid w:val="00ED162D"/>
    <w:rsid w:val="00ED2A81"/>
    <w:rsid w:val="00ED2E0A"/>
    <w:rsid w:val="00ED749B"/>
    <w:rsid w:val="00ED7F87"/>
    <w:rsid w:val="00EE1552"/>
    <w:rsid w:val="00EE5C03"/>
    <w:rsid w:val="00EF2CD1"/>
    <w:rsid w:val="00EF4304"/>
    <w:rsid w:val="00EF5814"/>
    <w:rsid w:val="00EF679A"/>
    <w:rsid w:val="00EF6B0E"/>
    <w:rsid w:val="00EF7816"/>
    <w:rsid w:val="00F03E60"/>
    <w:rsid w:val="00F05FD1"/>
    <w:rsid w:val="00F103DE"/>
    <w:rsid w:val="00F125CF"/>
    <w:rsid w:val="00F134F9"/>
    <w:rsid w:val="00F14157"/>
    <w:rsid w:val="00F17B1A"/>
    <w:rsid w:val="00F24DED"/>
    <w:rsid w:val="00F25805"/>
    <w:rsid w:val="00F301CB"/>
    <w:rsid w:val="00F30838"/>
    <w:rsid w:val="00F31281"/>
    <w:rsid w:val="00F31F13"/>
    <w:rsid w:val="00F36F6C"/>
    <w:rsid w:val="00F40A06"/>
    <w:rsid w:val="00F4335D"/>
    <w:rsid w:val="00F43C47"/>
    <w:rsid w:val="00F4698D"/>
    <w:rsid w:val="00F4758F"/>
    <w:rsid w:val="00F502C0"/>
    <w:rsid w:val="00F54071"/>
    <w:rsid w:val="00F5530B"/>
    <w:rsid w:val="00F56FAC"/>
    <w:rsid w:val="00F57B83"/>
    <w:rsid w:val="00F6101B"/>
    <w:rsid w:val="00F615FD"/>
    <w:rsid w:val="00F61F72"/>
    <w:rsid w:val="00F6216D"/>
    <w:rsid w:val="00F66B3A"/>
    <w:rsid w:val="00F71D3C"/>
    <w:rsid w:val="00F72792"/>
    <w:rsid w:val="00F727D3"/>
    <w:rsid w:val="00F735FB"/>
    <w:rsid w:val="00F750F7"/>
    <w:rsid w:val="00F75189"/>
    <w:rsid w:val="00F76123"/>
    <w:rsid w:val="00F7774C"/>
    <w:rsid w:val="00F8373F"/>
    <w:rsid w:val="00F8585B"/>
    <w:rsid w:val="00F85E2D"/>
    <w:rsid w:val="00F919F5"/>
    <w:rsid w:val="00F93E15"/>
    <w:rsid w:val="00F94AA1"/>
    <w:rsid w:val="00F951DD"/>
    <w:rsid w:val="00F975BC"/>
    <w:rsid w:val="00F97CCE"/>
    <w:rsid w:val="00FA092E"/>
    <w:rsid w:val="00FA378C"/>
    <w:rsid w:val="00FA56A8"/>
    <w:rsid w:val="00FA6AC4"/>
    <w:rsid w:val="00FA7854"/>
    <w:rsid w:val="00FB69DE"/>
    <w:rsid w:val="00FB6A7C"/>
    <w:rsid w:val="00FC3861"/>
    <w:rsid w:val="00FC7A69"/>
    <w:rsid w:val="00FC7DCB"/>
    <w:rsid w:val="00FD44ED"/>
    <w:rsid w:val="00FD4841"/>
    <w:rsid w:val="00FE56B4"/>
    <w:rsid w:val="00FE6D1B"/>
    <w:rsid w:val="00FF143A"/>
    <w:rsid w:val="00FF2738"/>
    <w:rsid w:val="00FF2D0D"/>
    <w:rsid w:val="00FF2F82"/>
    <w:rsid w:val="00FF53C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E55D0"/>
  <w15:chartTrackingRefBased/>
  <w15:docId w15:val="{EA077818-0354-4F34-A9BA-EB593A69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05"/>
    <w:rPr>
      <w:rFonts w:ascii="Arial" w:hAnsi="Arial"/>
      <w:sz w:val="24"/>
      <w:szCs w:val="24"/>
      <w:lang w:val="sr-Latn-CS" w:eastAsia="en-US"/>
    </w:rPr>
  </w:style>
  <w:style w:type="paragraph" w:styleId="Heading1">
    <w:name w:val="heading 1"/>
    <w:basedOn w:val="Normal"/>
    <w:next w:val="Normal"/>
    <w:link w:val="Heading1Char"/>
    <w:qFormat/>
    <w:rsid w:val="00E86F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B53FF"/>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805"/>
    <w:rPr>
      <w:color w:val="0000FF"/>
      <w:u w:val="single"/>
    </w:rPr>
  </w:style>
  <w:style w:type="paragraph" w:styleId="Caption">
    <w:name w:val="caption"/>
    <w:basedOn w:val="Normal"/>
    <w:next w:val="Normal"/>
    <w:qFormat/>
    <w:rsid w:val="00627F5D"/>
    <w:rPr>
      <w:b/>
      <w:bCs/>
      <w:sz w:val="20"/>
      <w:szCs w:val="20"/>
    </w:rPr>
  </w:style>
  <w:style w:type="paragraph" w:styleId="EndnoteText">
    <w:name w:val="endnote text"/>
    <w:basedOn w:val="Normal"/>
    <w:semiHidden/>
    <w:rsid w:val="00627F5D"/>
    <w:rPr>
      <w:sz w:val="20"/>
      <w:szCs w:val="20"/>
    </w:rPr>
  </w:style>
  <w:style w:type="character" w:styleId="EndnoteReference">
    <w:name w:val="endnote reference"/>
    <w:semiHidden/>
    <w:rsid w:val="00627F5D"/>
    <w:rPr>
      <w:vertAlign w:val="superscript"/>
    </w:rPr>
  </w:style>
  <w:style w:type="paragraph" w:styleId="Header">
    <w:name w:val="header"/>
    <w:basedOn w:val="Normal"/>
    <w:link w:val="HeaderChar"/>
    <w:uiPriority w:val="99"/>
    <w:rsid w:val="00627F5D"/>
    <w:pPr>
      <w:tabs>
        <w:tab w:val="center" w:pos="4535"/>
        <w:tab w:val="right" w:pos="9071"/>
      </w:tabs>
    </w:pPr>
  </w:style>
  <w:style w:type="paragraph" w:styleId="Footer">
    <w:name w:val="footer"/>
    <w:basedOn w:val="Normal"/>
    <w:link w:val="FooterChar"/>
    <w:uiPriority w:val="99"/>
    <w:rsid w:val="00627F5D"/>
    <w:pPr>
      <w:tabs>
        <w:tab w:val="center" w:pos="4535"/>
        <w:tab w:val="right" w:pos="9071"/>
      </w:tabs>
    </w:pPr>
  </w:style>
  <w:style w:type="paragraph" w:styleId="HTMLPreformatted">
    <w:name w:val="HTML Preformatted"/>
    <w:basedOn w:val="Normal"/>
    <w:rsid w:val="0017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paragraph" w:styleId="BalloonText">
    <w:name w:val="Balloon Text"/>
    <w:basedOn w:val="Normal"/>
    <w:semiHidden/>
    <w:rsid w:val="00803FB0"/>
    <w:rPr>
      <w:rFonts w:ascii="Tahoma" w:hAnsi="Tahoma" w:cs="Tahoma"/>
      <w:sz w:val="16"/>
      <w:szCs w:val="16"/>
    </w:rPr>
  </w:style>
  <w:style w:type="paragraph" w:styleId="BodyText">
    <w:name w:val="Body Text"/>
    <w:basedOn w:val="Normal"/>
    <w:link w:val="BodyTextChar"/>
    <w:rsid w:val="00FB6A7C"/>
    <w:pPr>
      <w:jc w:val="both"/>
    </w:pPr>
    <w:rPr>
      <w:rFonts w:ascii="Times New Roman" w:hAnsi="Times New Roman"/>
      <w:szCs w:val="20"/>
      <w:lang w:val="sr-Cyrl-CS"/>
    </w:rPr>
  </w:style>
  <w:style w:type="character" w:customStyle="1" w:styleId="BodyTextChar">
    <w:name w:val="Body Text Char"/>
    <w:link w:val="BodyText"/>
    <w:rsid w:val="00FB6A7C"/>
    <w:rPr>
      <w:sz w:val="24"/>
      <w:lang w:val="sr-Cyrl-CS" w:eastAsia="en-US"/>
    </w:rPr>
  </w:style>
  <w:style w:type="paragraph" w:styleId="FootnoteText">
    <w:name w:val="footnote text"/>
    <w:basedOn w:val="Normal"/>
    <w:link w:val="FootnoteTextChar"/>
    <w:uiPriority w:val="99"/>
    <w:unhideWhenUsed/>
    <w:rsid w:val="001221FE"/>
    <w:rPr>
      <w:rFonts w:ascii="Calibri" w:eastAsia="Calibri" w:hAnsi="Calibri"/>
      <w:sz w:val="20"/>
      <w:szCs w:val="20"/>
      <w:lang w:val="en-GB"/>
    </w:rPr>
  </w:style>
  <w:style w:type="character" w:customStyle="1" w:styleId="FootnoteTextChar">
    <w:name w:val="Footnote Text Char"/>
    <w:link w:val="FootnoteText"/>
    <w:uiPriority w:val="99"/>
    <w:rsid w:val="001221FE"/>
    <w:rPr>
      <w:rFonts w:ascii="Calibri" w:eastAsia="Calibri" w:hAnsi="Calibri" w:cs="Times New Roman"/>
      <w:lang w:val="en-GB" w:eastAsia="en-US"/>
    </w:rPr>
  </w:style>
  <w:style w:type="character" w:styleId="FootnoteReference">
    <w:name w:val="footnote reference"/>
    <w:uiPriority w:val="99"/>
    <w:unhideWhenUsed/>
    <w:rsid w:val="001221FE"/>
    <w:rPr>
      <w:vertAlign w:val="superscript"/>
    </w:rPr>
  </w:style>
  <w:style w:type="character" w:styleId="FollowedHyperlink">
    <w:name w:val="FollowedHyperlink"/>
    <w:rsid w:val="001221FE"/>
    <w:rPr>
      <w:color w:val="800080"/>
      <w:u w:val="single"/>
    </w:rPr>
  </w:style>
  <w:style w:type="paragraph" w:styleId="ListParagraph">
    <w:name w:val="List Paragraph"/>
    <w:basedOn w:val="Normal"/>
    <w:uiPriority w:val="34"/>
    <w:qFormat/>
    <w:rsid w:val="00CC4AE0"/>
    <w:pPr>
      <w:ind w:left="720"/>
      <w:contextualSpacing/>
    </w:pPr>
    <w:rPr>
      <w:rFonts w:ascii="Cambria" w:eastAsia="Cambria" w:hAnsi="Cambria"/>
      <w:lang w:val="en-US"/>
    </w:rPr>
  </w:style>
  <w:style w:type="paragraph" w:customStyle="1" w:styleId="Default">
    <w:name w:val="Default"/>
    <w:rsid w:val="008A33AA"/>
    <w:pPr>
      <w:autoSpaceDE w:val="0"/>
      <w:autoSpaceDN w:val="0"/>
      <w:adjustRightInd w:val="0"/>
    </w:pPr>
    <w:rPr>
      <w:rFonts w:ascii="Arial" w:hAnsi="Arial" w:cs="Arial"/>
      <w:color w:val="000000"/>
      <w:sz w:val="24"/>
      <w:szCs w:val="24"/>
      <w:lang w:val="sr-Latn-CS" w:eastAsia="sr-Latn-CS"/>
    </w:rPr>
  </w:style>
  <w:style w:type="paragraph" w:customStyle="1" w:styleId="CM1">
    <w:name w:val="CM1"/>
    <w:basedOn w:val="Default"/>
    <w:next w:val="Default"/>
    <w:uiPriority w:val="99"/>
    <w:rsid w:val="008A33AA"/>
    <w:pPr>
      <w:spacing w:line="273" w:lineRule="atLeast"/>
    </w:pPr>
    <w:rPr>
      <w:color w:val="auto"/>
    </w:rPr>
  </w:style>
  <w:style w:type="paragraph" w:customStyle="1" w:styleId="CM2">
    <w:name w:val="CM2"/>
    <w:basedOn w:val="Default"/>
    <w:next w:val="Default"/>
    <w:uiPriority w:val="99"/>
    <w:rsid w:val="008A33AA"/>
    <w:rPr>
      <w:color w:val="auto"/>
    </w:rPr>
  </w:style>
  <w:style w:type="paragraph" w:styleId="NoSpacing">
    <w:name w:val="No Spacing"/>
    <w:uiPriority w:val="1"/>
    <w:qFormat/>
    <w:rsid w:val="008A33AA"/>
    <w:rPr>
      <w:rFonts w:ascii="Arial" w:hAnsi="Arial"/>
      <w:sz w:val="24"/>
      <w:szCs w:val="24"/>
      <w:lang w:val="sr-Latn-CS" w:eastAsia="en-US"/>
    </w:rPr>
  </w:style>
  <w:style w:type="character" w:customStyle="1" w:styleId="Heading2Char">
    <w:name w:val="Heading 2 Char"/>
    <w:link w:val="Heading2"/>
    <w:rsid w:val="001B53FF"/>
    <w:rPr>
      <w:rFonts w:ascii="Arial" w:hAnsi="Arial"/>
      <w:b/>
      <w:sz w:val="22"/>
      <w:lang w:val="sr-Latn-CS" w:eastAsia="en-US"/>
    </w:rPr>
  </w:style>
  <w:style w:type="paragraph" w:styleId="BodyTextIndent">
    <w:name w:val="Body Text Indent"/>
    <w:basedOn w:val="Normal"/>
    <w:link w:val="BodyTextIndentChar"/>
    <w:rsid w:val="008353D7"/>
    <w:pPr>
      <w:spacing w:after="120"/>
      <w:ind w:left="283"/>
    </w:pPr>
  </w:style>
  <w:style w:type="character" w:customStyle="1" w:styleId="BodyTextIndentChar">
    <w:name w:val="Body Text Indent Char"/>
    <w:link w:val="BodyTextIndent"/>
    <w:rsid w:val="008353D7"/>
    <w:rPr>
      <w:rFonts w:ascii="Arial" w:hAnsi="Arial"/>
      <w:sz w:val="24"/>
      <w:szCs w:val="24"/>
      <w:lang w:val="sr-Latn-CS" w:eastAsia="en-US"/>
    </w:rPr>
  </w:style>
  <w:style w:type="character" w:customStyle="1" w:styleId="Heading1Char">
    <w:name w:val="Heading 1 Char"/>
    <w:link w:val="Heading1"/>
    <w:rsid w:val="00E86F32"/>
    <w:rPr>
      <w:rFonts w:ascii="Cambria" w:eastAsia="Times New Roman" w:hAnsi="Cambria" w:cs="Times New Roman"/>
      <w:b/>
      <w:bCs/>
      <w:kern w:val="32"/>
      <w:sz w:val="32"/>
      <w:szCs w:val="32"/>
      <w:lang w:val="sr-Latn-CS" w:eastAsia="en-US"/>
    </w:rPr>
  </w:style>
  <w:style w:type="paragraph" w:styleId="BodyText2">
    <w:name w:val="Body Text 2"/>
    <w:basedOn w:val="Normal"/>
    <w:link w:val="BodyText2Char"/>
    <w:rsid w:val="00880F96"/>
    <w:pPr>
      <w:spacing w:after="120" w:line="480" w:lineRule="auto"/>
    </w:pPr>
  </w:style>
  <w:style w:type="character" w:customStyle="1" w:styleId="BodyText2Char">
    <w:name w:val="Body Text 2 Char"/>
    <w:link w:val="BodyText2"/>
    <w:rsid w:val="00880F96"/>
    <w:rPr>
      <w:rFonts w:ascii="Arial" w:hAnsi="Arial"/>
      <w:sz w:val="24"/>
      <w:szCs w:val="24"/>
      <w:lang w:val="sr-Latn-CS" w:eastAsia="en-US"/>
    </w:rPr>
  </w:style>
  <w:style w:type="character" w:customStyle="1" w:styleId="HeaderChar">
    <w:name w:val="Header Char"/>
    <w:link w:val="Header"/>
    <w:uiPriority w:val="99"/>
    <w:rsid w:val="00116449"/>
    <w:rPr>
      <w:rFonts w:ascii="Arial" w:hAnsi="Arial"/>
      <w:sz w:val="24"/>
      <w:szCs w:val="24"/>
      <w:lang w:val="sr-Latn-CS"/>
    </w:rPr>
  </w:style>
  <w:style w:type="character" w:styleId="PageNumber">
    <w:name w:val="page number"/>
    <w:uiPriority w:val="99"/>
    <w:unhideWhenUsed/>
    <w:rsid w:val="00116449"/>
  </w:style>
  <w:style w:type="character" w:customStyle="1" w:styleId="FooterChar">
    <w:name w:val="Footer Char"/>
    <w:link w:val="Footer"/>
    <w:uiPriority w:val="99"/>
    <w:rsid w:val="00075EB4"/>
    <w:rPr>
      <w:rFonts w:ascii="Arial" w:hAnsi="Arial"/>
      <w:sz w:val="24"/>
      <w:szCs w:val="24"/>
      <w:lang w:val="sr-Latn-CS"/>
    </w:rPr>
  </w:style>
  <w:style w:type="character" w:styleId="CommentReference">
    <w:name w:val="annotation reference"/>
    <w:rsid w:val="004342FF"/>
    <w:rPr>
      <w:sz w:val="16"/>
      <w:szCs w:val="16"/>
    </w:rPr>
  </w:style>
  <w:style w:type="paragraph" w:styleId="CommentText">
    <w:name w:val="annotation text"/>
    <w:basedOn w:val="Normal"/>
    <w:link w:val="CommentTextChar"/>
    <w:rsid w:val="004342FF"/>
    <w:rPr>
      <w:sz w:val="20"/>
      <w:szCs w:val="20"/>
    </w:rPr>
  </w:style>
  <w:style w:type="character" w:customStyle="1" w:styleId="CommentTextChar">
    <w:name w:val="Comment Text Char"/>
    <w:link w:val="CommentText"/>
    <w:rsid w:val="004342FF"/>
    <w:rPr>
      <w:rFonts w:ascii="Arial" w:hAnsi="Arial"/>
      <w:lang w:val="sr-Latn-CS"/>
    </w:rPr>
  </w:style>
  <w:style w:type="paragraph" w:styleId="CommentSubject">
    <w:name w:val="annotation subject"/>
    <w:basedOn w:val="CommentText"/>
    <w:next w:val="CommentText"/>
    <w:link w:val="CommentSubjectChar"/>
    <w:rsid w:val="004342FF"/>
    <w:rPr>
      <w:b/>
      <w:bCs/>
    </w:rPr>
  </w:style>
  <w:style w:type="character" w:customStyle="1" w:styleId="CommentSubjectChar">
    <w:name w:val="Comment Subject Char"/>
    <w:link w:val="CommentSubject"/>
    <w:rsid w:val="004342FF"/>
    <w:rPr>
      <w:rFonts w:ascii="Arial" w:hAnsi="Arial"/>
      <w:b/>
      <w:bCs/>
      <w:lang w:val="sr-Latn-CS"/>
    </w:rPr>
  </w:style>
  <w:style w:type="table" w:styleId="TableGrid">
    <w:name w:val="Table Grid"/>
    <w:basedOn w:val="TableNormal"/>
    <w:rsid w:val="0036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4">
    <w:name w:val="Grid Table 6 Colorful Accent 4"/>
    <w:basedOn w:val="TableNormal"/>
    <w:uiPriority w:val="51"/>
    <w:rsid w:val="0006049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Subtle1">
    <w:name w:val="Table Subtle 1"/>
    <w:basedOn w:val="TableNormal"/>
    <w:rsid w:val="007336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E5451B"/>
    <w:pPr>
      <w:spacing w:before="100" w:beforeAutospacing="1" w:after="100" w:afterAutospacing="1"/>
    </w:pPr>
    <w:rPr>
      <w:rFonts w:ascii="Times New Roman" w:hAnsi="Times New Roman"/>
      <w:lang w:val="en-GB" w:eastAsia="en-GB"/>
    </w:rPr>
  </w:style>
  <w:style w:type="character" w:customStyle="1" w:styleId="fontstyle01">
    <w:name w:val="fontstyle01"/>
    <w:basedOn w:val="DefaultParagraphFont"/>
    <w:rsid w:val="00FA378C"/>
    <w:rPr>
      <w:rFonts w:ascii="Helvetica" w:hAnsi="Helvetica" w:cs="Helvetica" w:hint="default"/>
      <w:b w:val="0"/>
      <w:bCs w:val="0"/>
      <w:i w:val="0"/>
      <w:iCs w:val="0"/>
      <w:color w:val="33333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0259">
      <w:bodyDiv w:val="1"/>
      <w:marLeft w:val="0"/>
      <w:marRight w:val="0"/>
      <w:marTop w:val="0"/>
      <w:marBottom w:val="0"/>
      <w:divBdr>
        <w:top w:val="none" w:sz="0" w:space="0" w:color="auto"/>
        <w:left w:val="none" w:sz="0" w:space="0" w:color="auto"/>
        <w:bottom w:val="none" w:sz="0" w:space="0" w:color="auto"/>
        <w:right w:val="none" w:sz="0" w:space="0" w:color="auto"/>
      </w:divBdr>
      <w:divsChild>
        <w:div w:id="460270314">
          <w:marLeft w:val="0"/>
          <w:marRight w:val="0"/>
          <w:marTop w:val="0"/>
          <w:marBottom w:val="0"/>
          <w:divBdr>
            <w:top w:val="none" w:sz="0" w:space="0" w:color="auto"/>
            <w:left w:val="none" w:sz="0" w:space="0" w:color="auto"/>
            <w:bottom w:val="none" w:sz="0" w:space="0" w:color="auto"/>
            <w:right w:val="none" w:sz="0" w:space="0" w:color="auto"/>
          </w:divBdr>
        </w:div>
        <w:div w:id="854925327">
          <w:marLeft w:val="0"/>
          <w:marRight w:val="0"/>
          <w:marTop w:val="0"/>
          <w:marBottom w:val="0"/>
          <w:divBdr>
            <w:top w:val="none" w:sz="0" w:space="0" w:color="auto"/>
            <w:left w:val="none" w:sz="0" w:space="0" w:color="auto"/>
            <w:bottom w:val="none" w:sz="0" w:space="0" w:color="auto"/>
            <w:right w:val="none" w:sz="0" w:space="0" w:color="auto"/>
          </w:divBdr>
        </w:div>
      </w:divsChild>
    </w:div>
    <w:div w:id="216552839">
      <w:bodyDiv w:val="1"/>
      <w:marLeft w:val="0"/>
      <w:marRight w:val="0"/>
      <w:marTop w:val="0"/>
      <w:marBottom w:val="0"/>
      <w:divBdr>
        <w:top w:val="none" w:sz="0" w:space="0" w:color="auto"/>
        <w:left w:val="none" w:sz="0" w:space="0" w:color="auto"/>
        <w:bottom w:val="none" w:sz="0" w:space="0" w:color="auto"/>
        <w:right w:val="none" w:sz="0" w:space="0" w:color="auto"/>
      </w:divBdr>
    </w:div>
    <w:div w:id="292637080">
      <w:bodyDiv w:val="1"/>
      <w:marLeft w:val="0"/>
      <w:marRight w:val="0"/>
      <w:marTop w:val="0"/>
      <w:marBottom w:val="0"/>
      <w:divBdr>
        <w:top w:val="none" w:sz="0" w:space="0" w:color="auto"/>
        <w:left w:val="none" w:sz="0" w:space="0" w:color="auto"/>
        <w:bottom w:val="none" w:sz="0" w:space="0" w:color="auto"/>
        <w:right w:val="none" w:sz="0" w:space="0" w:color="auto"/>
      </w:divBdr>
    </w:div>
    <w:div w:id="584387006">
      <w:bodyDiv w:val="1"/>
      <w:marLeft w:val="0"/>
      <w:marRight w:val="0"/>
      <w:marTop w:val="0"/>
      <w:marBottom w:val="0"/>
      <w:divBdr>
        <w:top w:val="none" w:sz="0" w:space="0" w:color="auto"/>
        <w:left w:val="none" w:sz="0" w:space="0" w:color="auto"/>
        <w:bottom w:val="none" w:sz="0" w:space="0" w:color="auto"/>
        <w:right w:val="none" w:sz="0" w:space="0" w:color="auto"/>
      </w:divBdr>
    </w:div>
    <w:div w:id="606740234">
      <w:bodyDiv w:val="1"/>
      <w:marLeft w:val="0"/>
      <w:marRight w:val="0"/>
      <w:marTop w:val="0"/>
      <w:marBottom w:val="0"/>
      <w:divBdr>
        <w:top w:val="none" w:sz="0" w:space="0" w:color="auto"/>
        <w:left w:val="none" w:sz="0" w:space="0" w:color="auto"/>
        <w:bottom w:val="none" w:sz="0" w:space="0" w:color="auto"/>
        <w:right w:val="none" w:sz="0" w:space="0" w:color="auto"/>
      </w:divBdr>
    </w:div>
    <w:div w:id="737168634">
      <w:bodyDiv w:val="1"/>
      <w:marLeft w:val="0"/>
      <w:marRight w:val="0"/>
      <w:marTop w:val="0"/>
      <w:marBottom w:val="0"/>
      <w:divBdr>
        <w:top w:val="none" w:sz="0" w:space="0" w:color="auto"/>
        <w:left w:val="none" w:sz="0" w:space="0" w:color="auto"/>
        <w:bottom w:val="none" w:sz="0" w:space="0" w:color="auto"/>
        <w:right w:val="none" w:sz="0" w:space="0" w:color="auto"/>
      </w:divBdr>
    </w:div>
    <w:div w:id="787235969">
      <w:bodyDiv w:val="1"/>
      <w:marLeft w:val="0"/>
      <w:marRight w:val="0"/>
      <w:marTop w:val="0"/>
      <w:marBottom w:val="0"/>
      <w:divBdr>
        <w:top w:val="none" w:sz="0" w:space="0" w:color="auto"/>
        <w:left w:val="none" w:sz="0" w:space="0" w:color="auto"/>
        <w:bottom w:val="none" w:sz="0" w:space="0" w:color="auto"/>
        <w:right w:val="none" w:sz="0" w:space="0" w:color="auto"/>
      </w:divBdr>
    </w:div>
    <w:div w:id="793525915">
      <w:bodyDiv w:val="1"/>
      <w:marLeft w:val="0"/>
      <w:marRight w:val="0"/>
      <w:marTop w:val="0"/>
      <w:marBottom w:val="0"/>
      <w:divBdr>
        <w:top w:val="none" w:sz="0" w:space="0" w:color="auto"/>
        <w:left w:val="none" w:sz="0" w:space="0" w:color="auto"/>
        <w:bottom w:val="none" w:sz="0" w:space="0" w:color="auto"/>
        <w:right w:val="none" w:sz="0" w:space="0" w:color="auto"/>
      </w:divBdr>
    </w:div>
    <w:div w:id="844368836">
      <w:bodyDiv w:val="1"/>
      <w:marLeft w:val="0"/>
      <w:marRight w:val="0"/>
      <w:marTop w:val="0"/>
      <w:marBottom w:val="0"/>
      <w:divBdr>
        <w:top w:val="none" w:sz="0" w:space="0" w:color="auto"/>
        <w:left w:val="none" w:sz="0" w:space="0" w:color="auto"/>
        <w:bottom w:val="none" w:sz="0" w:space="0" w:color="auto"/>
        <w:right w:val="none" w:sz="0" w:space="0" w:color="auto"/>
      </w:divBdr>
    </w:div>
    <w:div w:id="934678592">
      <w:bodyDiv w:val="1"/>
      <w:marLeft w:val="0"/>
      <w:marRight w:val="0"/>
      <w:marTop w:val="0"/>
      <w:marBottom w:val="0"/>
      <w:divBdr>
        <w:top w:val="none" w:sz="0" w:space="0" w:color="auto"/>
        <w:left w:val="none" w:sz="0" w:space="0" w:color="auto"/>
        <w:bottom w:val="none" w:sz="0" w:space="0" w:color="auto"/>
        <w:right w:val="none" w:sz="0" w:space="0" w:color="auto"/>
      </w:divBdr>
    </w:div>
    <w:div w:id="1036544331">
      <w:bodyDiv w:val="1"/>
      <w:marLeft w:val="0"/>
      <w:marRight w:val="0"/>
      <w:marTop w:val="0"/>
      <w:marBottom w:val="0"/>
      <w:divBdr>
        <w:top w:val="none" w:sz="0" w:space="0" w:color="auto"/>
        <w:left w:val="none" w:sz="0" w:space="0" w:color="auto"/>
        <w:bottom w:val="none" w:sz="0" w:space="0" w:color="auto"/>
        <w:right w:val="none" w:sz="0" w:space="0" w:color="auto"/>
      </w:divBdr>
    </w:div>
    <w:div w:id="1165903134">
      <w:bodyDiv w:val="1"/>
      <w:marLeft w:val="0"/>
      <w:marRight w:val="0"/>
      <w:marTop w:val="0"/>
      <w:marBottom w:val="0"/>
      <w:divBdr>
        <w:top w:val="none" w:sz="0" w:space="0" w:color="auto"/>
        <w:left w:val="none" w:sz="0" w:space="0" w:color="auto"/>
        <w:bottom w:val="none" w:sz="0" w:space="0" w:color="auto"/>
        <w:right w:val="none" w:sz="0" w:space="0" w:color="auto"/>
      </w:divBdr>
      <w:divsChild>
        <w:div w:id="286201957">
          <w:marLeft w:val="0"/>
          <w:marRight w:val="0"/>
          <w:marTop w:val="0"/>
          <w:marBottom w:val="0"/>
          <w:divBdr>
            <w:top w:val="none" w:sz="0" w:space="0" w:color="auto"/>
            <w:left w:val="none" w:sz="0" w:space="0" w:color="auto"/>
            <w:bottom w:val="none" w:sz="0" w:space="0" w:color="auto"/>
            <w:right w:val="none" w:sz="0" w:space="0" w:color="auto"/>
          </w:divBdr>
        </w:div>
        <w:div w:id="857549153">
          <w:marLeft w:val="0"/>
          <w:marRight w:val="0"/>
          <w:marTop w:val="0"/>
          <w:marBottom w:val="0"/>
          <w:divBdr>
            <w:top w:val="none" w:sz="0" w:space="0" w:color="auto"/>
            <w:left w:val="none" w:sz="0" w:space="0" w:color="auto"/>
            <w:bottom w:val="none" w:sz="0" w:space="0" w:color="auto"/>
            <w:right w:val="none" w:sz="0" w:space="0" w:color="auto"/>
          </w:divBdr>
        </w:div>
        <w:div w:id="1877546224">
          <w:marLeft w:val="0"/>
          <w:marRight w:val="0"/>
          <w:marTop w:val="0"/>
          <w:marBottom w:val="0"/>
          <w:divBdr>
            <w:top w:val="none" w:sz="0" w:space="0" w:color="auto"/>
            <w:left w:val="none" w:sz="0" w:space="0" w:color="auto"/>
            <w:bottom w:val="none" w:sz="0" w:space="0" w:color="auto"/>
            <w:right w:val="none" w:sz="0" w:space="0" w:color="auto"/>
          </w:divBdr>
        </w:div>
      </w:divsChild>
    </w:div>
    <w:div w:id="1438675425">
      <w:bodyDiv w:val="1"/>
      <w:marLeft w:val="0"/>
      <w:marRight w:val="0"/>
      <w:marTop w:val="0"/>
      <w:marBottom w:val="0"/>
      <w:divBdr>
        <w:top w:val="none" w:sz="0" w:space="0" w:color="auto"/>
        <w:left w:val="none" w:sz="0" w:space="0" w:color="auto"/>
        <w:bottom w:val="none" w:sz="0" w:space="0" w:color="auto"/>
        <w:right w:val="none" w:sz="0" w:space="0" w:color="auto"/>
      </w:divBdr>
    </w:div>
    <w:div w:id="1477991653">
      <w:bodyDiv w:val="1"/>
      <w:marLeft w:val="0"/>
      <w:marRight w:val="0"/>
      <w:marTop w:val="0"/>
      <w:marBottom w:val="0"/>
      <w:divBdr>
        <w:top w:val="none" w:sz="0" w:space="0" w:color="auto"/>
        <w:left w:val="none" w:sz="0" w:space="0" w:color="auto"/>
        <w:bottom w:val="none" w:sz="0" w:space="0" w:color="auto"/>
        <w:right w:val="none" w:sz="0" w:space="0" w:color="auto"/>
      </w:divBdr>
    </w:div>
    <w:div w:id="1546868324">
      <w:bodyDiv w:val="1"/>
      <w:marLeft w:val="0"/>
      <w:marRight w:val="0"/>
      <w:marTop w:val="0"/>
      <w:marBottom w:val="0"/>
      <w:divBdr>
        <w:top w:val="none" w:sz="0" w:space="0" w:color="auto"/>
        <w:left w:val="none" w:sz="0" w:space="0" w:color="auto"/>
        <w:bottom w:val="none" w:sz="0" w:space="0" w:color="auto"/>
        <w:right w:val="none" w:sz="0" w:space="0" w:color="auto"/>
      </w:divBdr>
    </w:div>
    <w:div w:id="1674576207">
      <w:bodyDiv w:val="1"/>
      <w:marLeft w:val="0"/>
      <w:marRight w:val="0"/>
      <w:marTop w:val="0"/>
      <w:marBottom w:val="0"/>
      <w:divBdr>
        <w:top w:val="none" w:sz="0" w:space="0" w:color="auto"/>
        <w:left w:val="none" w:sz="0" w:space="0" w:color="auto"/>
        <w:bottom w:val="none" w:sz="0" w:space="0" w:color="auto"/>
        <w:right w:val="none" w:sz="0" w:space="0" w:color="auto"/>
      </w:divBdr>
    </w:div>
    <w:div w:id="1694456359">
      <w:bodyDiv w:val="1"/>
      <w:marLeft w:val="0"/>
      <w:marRight w:val="0"/>
      <w:marTop w:val="0"/>
      <w:marBottom w:val="0"/>
      <w:divBdr>
        <w:top w:val="none" w:sz="0" w:space="0" w:color="auto"/>
        <w:left w:val="none" w:sz="0" w:space="0" w:color="auto"/>
        <w:bottom w:val="none" w:sz="0" w:space="0" w:color="auto"/>
        <w:right w:val="none" w:sz="0" w:space="0" w:color="auto"/>
      </w:divBdr>
    </w:div>
    <w:div w:id="1900676920">
      <w:bodyDiv w:val="1"/>
      <w:marLeft w:val="0"/>
      <w:marRight w:val="0"/>
      <w:marTop w:val="0"/>
      <w:marBottom w:val="0"/>
      <w:divBdr>
        <w:top w:val="none" w:sz="0" w:space="0" w:color="auto"/>
        <w:left w:val="none" w:sz="0" w:space="0" w:color="auto"/>
        <w:bottom w:val="none" w:sz="0" w:space="0" w:color="auto"/>
        <w:right w:val="none" w:sz="0" w:space="0" w:color="auto"/>
      </w:divBdr>
    </w:div>
    <w:div w:id="1948854244">
      <w:bodyDiv w:val="1"/>
      <w:marLeft w:val="0"/>
      <w:marRight w:val="0"/>
      <w:marTop w:val="0"/>
      <w:marBottom w:val="0"/>
      <w:divBdr>
        <w:top w:val="none" w:sz="0" w:space="0" w:color="auto"/>
        <w:left w:val="none" w:sz="0" w:space="0" w:color="auto"/>
        <w:bottom w:val="none" w:sz="0" w:space="0" w:color="auto"/>
        <w:right w:val="none" w:sz="0" w:space="0" w:color="auto"/>
      </w:divBdr>
    </w:div>
    <w:div w:id="2028481709">
      <w:bodyDiv w:val="1"/>
      <w:marLeft w:val="0"/>
      <w:marRight w:val="0"/>
      <w:marTop w:val="0"/>
      <w:marBottom w:val="0"/>
      <w:divBdr>
        <w:top w:val="none" w:sz="0" w:space="0" w:color="auto"/>
        <w:left w:val="none" w:sz="0" w:space="0" w:color="auto"/>
        <w:bottom w:val="none" w:sz="0" w:space="0" w:color="auto"/>
        <w:right w:val="none" w:sz="0" w:space="0" w:color="auto"/>
      </w:divBdr>
    </w:div>
    <w:div w:id="2044865357">
      <w:bodyDiv w:val="1"/>
      <w:marLeft w:val="0"/>
      <w:marRight w:val="0"/>
      <w:marTop w:val="0"/>
      <w:marBottom w:val="0"/>
      <w:divBdr>
        <w:top w:val="none" w:sz="0" w:space="0" w:color="auto"/>
        <w:left w:val="none" w:sz="0" w:space="0" w:color="auto"/>
        <w:bottom w:val="none" w:sz="0" w:space="0" w:color="auto"/>
        <w:right w:val="none" w:sz="0" w:space="0" w:color="auto"/>
      </w:divBdr>
    </w:div>
    <w:div w:id="2073192752">
      <w:bodyDiv w:val="1"/>
      <w:marLeft w:val="0"/>
      <w:marRight w:val="0"/>
      <w:marTop w:val="0"/>
      <w:marBottom w:val="0"/>
      <w:divBdr>
        <w:top w:val="none" w:sz="0" w:space="0" w:color="auto"/>
        <w:left w:val="none" w:sz="0" w:space="0" w:color="auto"/>
        <w:bottom w:val="none" w:sz="0" w:space="0" w:color="auto"/>
        <w:right w:val="none" w:sz="0" w:space="0" w:color="auto"/>
      </w:divBdr>
    </w:div>
    <w:div w:id="20972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Srbija</c:v>
                </c:pt>
              </c:strCache>
            </c:strRef>
          </c:tx>
          <c:spPr>
            <a:ln w="28575" cap="rnd">
              <a:solidFill>
                <a:srgbClr val="FF0000"/>
              </a:solidFill>
              <a:round/>
            </a:ln>
            <a:effectLst/>
          </c:spPr>
          <c:marker>
            <c:symbol val="none"/>
          </c:marker>
          <c:cat>
            <c:strRef>
              <c:f>Sheet1!$A$2:$A$13</c:f>
              <c:strCache>
                <c:ptCount val="12"/>
                <c:pt idx="0">
                  <c:v>Institucije</c:v>
                </c:pt>
                <c:pt idx="1">
                  <c:v>Infrastruktura</c:v>
                </c:pt>
                <c:pt idx="2">
                  <c:v>Usvajanje IKT-a</c:v>
                </c:pt>
                <c:pt idx="3">
                  <c:v>Makroekonomska stabilnost</c:v>
                </c:pt>
                <c:pt idx="4">
                  <c:v>Zdravstvo</c:v>
                </c:pt>
                <c:pt idx="5">
                  <c:v>Veštine</c:v>
                </c:pt>
                <c:pt idx="6">
                  <c:v>Tržište dobara</c:v>
                </c:pt>
                <c:pt idx="7">
                  <c:v>Tržište rada</c:v>
                </c:pt>
                <c:pt idx="8">
                  <c:v>Finansijski sistem</c:v>
                </c:pt>
                <c:pt idx="9">
                  <c:v>Veličina tržišta</c:v>
                </c:pt>
                <c:pt idx="10">
                  <c:v>Dinamika poslovanja</c:v>
                </c:pt>
                <c:pt idx="11">
                  <c:v>Sposobnost za inoviranjem</c:v>
                </c:pt>
              </c:strCache>
            </c:strRef>
          </c:cat>
          <c:val>
            <c:numRef>
              <c:f>Sheet1!$B$2:$B$13</c:f>
              <c:numCache>
                <c:formatCode>General</c:formatCode>
                <c:ptCount val="12"/>
                <c:pt idx="0">
                  <c:v>52.45</c:v>
                </c:pt>
                <c:pt idx="1">
                  <c:v>73.84</c:v>
                </c:pt>
                <c:pt idx="2">
                  <c:v>52.59</c:v>
                </c:pt>
                <c:pt idx="3">
                  <c:v>75</c:v>
                </c:pt>
                <c:pt idx="4">
                  <c:v>78.989999999999995</c:v>
                </c:pt>
                <c:pt idx="5">
                  <c:v>68.180000000000007</c:v>
                </c:pt>
                <c:pt idx="6">
                  <c:v>54.58</c:v>
                </c:pt>
                <c:pt idx="7">
                  <c:v>52.13</c:v>
                </c:pt>
                <c:pt idx="8">
                  <c:v>57.4</c:v>
                </c:pt>
                <c:pt idx="9">
                  <c:v>51.77</c:v>
                </c:pt>
                <c:pt idx="10">
                  <c:v>63.11</c:v>
                </c:pt>
                <c:pt idx="11">
                  <c:v>40.18</c:v>
                </c:pt>
              </c:numCache>
            </c:numRef>
          </c:val>
          <c:extLst xmlns:c16r2="http://schemas.microsoft.com/office/drawing/2015/06/chart">
            <c:ext xmlns:c16="http://schemas.microsoft.com/office/drawing/2014/chart" uri="{C3380CC4-5D6E-409C-BE32-E72D297353CC}">
              <c16:uniqueId val="{00000000-B56C-4598-8137-AF8FD09D182B}"/>
            </c:ext>
          </c:extLst>
        </c:ser>
        <c:ser>
          <c:idx val="1"/>
          <c:order val="1"/>
          <c:tx>
            <c:strRef>
              <c:f>Sheet1!$C$1</c:f>
              <c:strCache>
                <c:ptCount val="1"/>
                <c:pt idx="0">
                  <c:v>Evropa i Severna Amerika</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strRef>
              <c:f>Sheet1!$A$2:$A$13</c:f>
              <c:strCache>
                <c:ptCount val="12"/>
                <c:pt idx="0">
                  <c:v>Institucije</c:v>
                </c:pt>
                <c:pt idx="1">
                  <c:v>Infrastruktura</c:v>
                </c:pt>
                <c:pt idx="2">
                  <c:v>Usvajanje IKT-a</c:v>
                </c:pt>
                <c:pt idx="3">
                  <c:v>Makroekonomska stabilnost</c:v>
                </c:pt>
                <c:pt idx="4">
                  <c:v>Zdravstvo</c:v>
                </c:pt>
                <c:pt idx="5">
                  <c:v>Veštine</c:v>
                </c:pt>
                <c:pt idx="6">
                  <c:v>Tržište dobara</c:v>
                </c:pt>
                <c:pt idx="7">
                  <c:v>Tržište rada</c:v>
                </c:pt>
                <c:pt idx="8">
                  <c:v>Finansijski sistem</c:v>
                </c:pt>
                <c:pt idx="9">
                  <c:v>Veličina tržišta</c:v>
                </c:pt>
                <c:pt idx="10">
                  <c:v>Dinamika poslovanja</c:v>
                </c:pt>
                <c:pt idx="11">
                  <c:v>Sposobnost za inoviranjem</c:v>
                </c:pt>
              </c:strCache>
            </c:strRef>
          </c:cat>
          <c:val>
            <c:numRef>
              <c:f>Sheet1!$C$2:$C$13</c:f>
              <c:numCache>
                <c:formatCode>General</c:formatCode>
                <c:ptCount val="12"/>
                <c:pt idx="0">
                  <c:v>64.650000000000006</c:v>
                </c:pt>
                <c:pt idx="1">
                  <c:v>79.67</c:v>
                </c:pt>
                <c:pt idx="2">
                  <c:v>70.45</c:v>
                </c:pt>
                <c:pt idx="3">
                  <c:v>92.56</c:v>
                </c:pt>
                <c:pt idx="4">
                  <c:v>89.15</c:v>
                </c:pt>
                <c:pt idx="5">
                  <c:v>74.55</c:v>
                </c:pt>
                <c:pt idx="6">
                  <c:v>59.98</c:v>
                </c:pt>
                <c:pt idx="7">
                  <c:v>66.36</c:v>
                </c:pt>
                <c:pt idx="8">
                  <c:v>70.86</c:v>
                </c:pt>
                <c:pt idx="9">
                  <c:v>60.05</c:v>
                </c:pt>
                <c:pt idx="10">
                  <c:v>68.34</c:v>
                </c:pt>
                <c:pt idx="11">
                  <c:v>58.09</c:v>
                </c:pt>
              </c:numCache>
            </c:numRef>
          </c:val>
          <c:extLst xmlns:c16r2="http://schemas.microsoft.com/office/drawing/2015/06/chart">
            <c:ext xmlns:c16="http://schemas.microsoft.com/office/drawing/2014/chart" uri="{C3380CC4-5D6E-409C-BE32-E72D297353CC}">
              <c16:uniqueId val="{00000001-B56C-4598-8137-AF8FD09D182B}"/>
            </c:ext>
          </c:extLst>
        </c:ser>
        <c:ser>
          <c:idx val="2"/>
          <c:order val="2"/>
          <c:tx>
            <c:strRef>
              <c:f>Sheet1!$D$1</c:f>
              <c:strCache>
                <c:ptCount val="1"/>
                <c:pt idx="0">
                  <c:v>Evroazija</c:v>
                </c:pt>
              </c:strCache>
            </c:strRef>
          </c:tx>
          <c:spPr>
            <a:ln w="28575" cap="rnd">
              <a:solidFill>
                <a:schemeClr val="tx1"/>
              </a:solidFill>
              <a:prstDash val="dash"/>
              <a:round/>
            </a:ln>
            <a:effectLst/>
          </c:spPr>
          <c:marker>
            <c:symbol val="circle"/>
            <c:size val="5"/>
            <c:spPr>
              <a:solidFill>
                <a:schemeClr val="tx1"/>
              </a:solidFill>
              <a:ln w="9525">
                <a:solidFill>
                  <a:schemeClr val="tx1"/>
                </a:solidFill>
              </a:ln>
              <a:effectLst/>
            </c:spPr>
          </c:marker>
          <c:cat>
            <c:strRef>
              <c:f>Sheet1!$A$2:$A$13</c:f>
              <c:strCache>
                <c:ptCount val="12"/>
                <c:pt idx="0">
                  <c:v>Institucije</c:v>
                </c:pt>
                <c:pt idx="1">
                  <c:v>Infrastruktura</c:v>
                </c:pt>
                <c:pt idx="2">
                  <c:v>Usvajanje IKT-a</c:v>
                </c:pt>
                <c:pt idx="3">
                  <c:v>Makroekonomska stabilnost</c:v>
                </c:pt>
                <c:pt idx="4">
                  <c:v>Zdravstvo</c:v>
                </c:pt>
                <c:pt idx="5">
                  <c:v>Veštine</c:v>
                </c:pt>
                <c:pt idx="6">
                  <c:v>Tržište dobara</c:v>
                </c:pt>
                <c:pt idx="7">
                  <c:v>Tržište rada</c:v>
                </c:pt>
                <c:pt idx="8">
                  <c:v>Finansijski sistem</c:v>
                </c:pt>
                <c:pt idx="9">
                  <c:v>Veličina tržišta</c:v>
                </c:pt>
                <c:pt idx="10">
                  <c:v>Dinamika poslovanja</c:v>
                </c:pt>
                <c:pt idx="11">
                  <c:v>Sposobnost za inoviranjem</c:v>
                </c:pt>
              </c:strCache>
            </c:strRef>
          </c:cat>
          <c:val>
            <c:numRef>
              <c:f>Sheet1!$D$2:$D$13</c:f>
              <c:numCache>
                <c:formatCode>General</c:formatCode>
                <c:ptCount val="12"/>
                <c:pt idx="0">
                  <c:v>53.76</c:v>
                </c:pt>
                <c:pt idx="1">
                  <c:v>67.72</c:v>
                </c:pt>
                <c:pt idx="2">
                  <c:v>59.45</c:v>
                </c:pt>
                <c:pt idx="3">
                  <c:v>74.94</c:v>
                </c:pt>
                <c:pt idx="4">
                  <c:v>71.290000000000006</c:v>
                </c:pt>
                <c:pt idx="5">
                  <c:v>66.14</c:v>
                </c:pt>
                <c:pt idx="6">
                  <c:v>56.07</c:v>
                </c:pt>
                <c:pt idx="7">
                  <c:v>53.5</c:v>
                </c:pt>
                <c:pt idx="8">
                  <c:v>52.05</c:v>
                </c:pt>
                <c:pt idx="9">
                  <c:v>50.28</c:v>
                </c:pt>
                <c:pt idx="10">
                  <c:v>61.86</c:v>
                </c:pt>
                <c:pt idx="11">
                  <c:v>35.5</c:v>
                </c:pt>
              </c:numCache>
            </c:numRef>
          </c:val>
          <c:extLst xmlns:c16r2="http://schemas.microsoft.com/office/drawing/2015/06/chart">
            <c:ext xmlns:c16="http://schemas.microsoft.com/office/drawing/2014/chart" uri="{C3380CC4-5D6E-409C-BE32-E72D297353CC}">
              <c16:uniqueId val="{00000002-B56C-4598-8137-AF8FD09D182B}"/>
            </c:ext>
          </c:extLst>
        </c:ser>
        <c:ser>
          <c:idx val="3"/>
          <c:order val="3"/>
          <c:tx>
            <c:strRef>
              <c:f>Sheet1!$E$1</c:f>
              <c:strCache>
                <c:ptCount val="1"/>
                <c:pt idx="0">
                  <c:v>Prosek</c:v>
                </c:pt>
              </c:strCache>
            </c:strRef>
          </c:tx>
          <c:spPr>
            <a:ln w="28575" cap="rnd">
              <a:solidFill>
                <a:srgbClr val="0070C0"/>
              </a:solidFill>
              <a:prstDash val="sysDot"/>
              <a:round/>
            </a:ln>
            <a:effectLst/>
          </c:spPr>
          <c:marker>
            <c:symbol val="circle"/>
            <c:size val="5"/>
            <c:spPr>
              <a:solidFill>
                <a:srgbClr val="0070C0"/>
              </a:solidFill>
              <a:ln w="9525">
                <a:solidFill>
                  <a:srgbClr val="0070C0"/>
                </a:solidFill>
              </a:ln>
              <a:effectLst/>
            </c:spPr>
          </c:marker>
          <c:cat>
            <c:strRef>
              <c:f>Sheet1!$A$2:$A$13</c:f>
              <c:strCache>
                <c:ptCount val="12"/>
                <c:pt idx="0">
                  <c:v>Institucije</c:v>
                </c:pt>
                <c:pt idx="1">
                  <c:v>Infrastruktura</c:v>
                </c:pt>
                <c:pt idx="2">
                  <c:v>Usvajanje IKT-a</c:v>
                </c:pt>
                <c:pt idx="3">
                  <c:v>Makroekonomska stabilnost</c:v>
                </c:pt>
                <c:pt idx="4">
                  <c:v>Zdravstvo</c:v>
                </c:pt>
                <c:pt idx="5">
                  <c:v>Veštine</c:v>
                </c:pt>
                <c:pt idx="6">
                  <c:v>Tržište dobara</c:v>
                </c:pt>
                <c:pt idx="7">
                  <c:v>Tržište rada</c:v>
                </c:pt>
                <c:pt idx="8">
                  <c:v>Finansijski sistem</c:v>
                </c:pt>
                <c:pt idx="9">
                  <c:v>Veličina tržišta</c:v>
                </c:pt>
                <c:pt idx="10">
                  <c:v>Dinamika poslovanja</c:v>
                </c:pt>
                <c:pt idx="11">
                  <c:v>Sposobnost za inoviranjem</c:v>
                </c:pt>
              </c:strCache>
            </c:strRef>
          </c:cat>
          <c:val>
            <c:numRef>
              <c:f>Sheet1!$E$2:$E$13</c:f>
              <c:numCache>
                <c:formatCode>General</c:formatCode>
                <c:ptCount val="12"/>
                <c:pt idx="0">
                  <c:v>55.07</c:v>
                </c:pt>
                <c:pt idx="1">
                  <c:v>65.400000000000006</c:v>
                </c:pt>
                <c:pt idx="2">
                  <c:v>55.33</c:v>
                </c:pt>
                <c:pt idx="3">
                  <c:v>80.08</c:v>
                </c:pt>
                <c:pt idx="4">
                  <c:v>75.41</c:v>
                </c:pt>
                <c:pt idx="5">
                  <c:v>61.26</c:v>
                </c:pt>
                <c:pt idx="6">
                  <c:v>55.26</c:v>
                </c:pt>
                <c:pt idx="7">
                  <c:v>59.98</c:v>
                </c:pt>
                <c:pt idx="8">
                  <c:v>62.44</c:v>
                </c:pt>
                <c:pt idx="9">
                  <c:v>54.5</c:v>
                </c:pt>
                <c:pt idx="10">
                  <c:v>59.96</c:v>
                </c:pt>
                <c:pt idx="11">
                  <c:v>42.98</c:v>
                </c:pt>
              </c:numCache>
            </c:numRef>
          </c:val>
          <c:extLst xmlns:c16r2="http://schemas.microsoft.com/office/drawing/2015/06/chart">
            <c:ext xmlns:c16="http://schemas.microsoft.com/office/drawing/2014/chart" uri="{C3380CC4-5D6E-409C-BE32-E72D297353CC}">
              <c16:uniqueId val="{00000003-B56C-4598-8137-AF8FD09D182B}"/>
            </c:ext>
          </c:extLst>
        </c:ser>
        <c:dLbls>
          <c:showLegendKey val="0"/>
          <c:showVal val="0"/>
          <c:showCatName val="0"/>
          <c:showSerName val="0"/>
          <c:showPercent val="0"/>
          <c:showBubbleSize val="0"/>
        </c:dLbls>
        <c:axId val="635456288"/>
        <c:axId val="635460096"/>
      </c:radarChart>
      <c:catAx>
        <c:axId val="6354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Roboto Slab" pitchFamily="2" charset="0"/>
                <a:ea typeface="Roboto Slab" pitchFamily="2" charset="0"/>
                <a:cs typeface="+mn-cs"/>
              </a:defRPr>
            </a:pPr>
            <a:endParaRPr lang="sr-Latn-RS"/>
          </a:p>
        </c:txPr>
        <c:crossAx val="635460096"/>
        <c:crosses val="autoZero"/>
        <c:auto val="1"/>
        <c:lblAlgn val="ctr"/>
        <c:lblOffset val="100"/>
        <c:noMultiLvlLbl val="0"/>
      </c:catAx>
      <c:valAx>
        <c:axId val="63546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Roboto Slab" pitchFamily="2" charset="0"/>
                <a:ea typeface="Roboto Slab" pitchFamily="2" charset="0"/>
                <a:cs typeface="+mn-cs"/>
              </a:defRPr>
            </a:pPr>
            <a:endParaRPr lang="sr-Latn-RS"/>
          </a:p>
        </c:txPr>
        <c:crossAx val="63545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D4CA-ECCB-43FF-A90B-E1F2F60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CEVES</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zarko</dc:creator>
  <cp:keywords/>
  <cp:lastModifiedBy>CID Direktor</cp:lastModifiedBy>
  <cp:revision>50</cp:revision>
  <cp:lastPrinted>2014-09-01T14:58:00Z</cp:lastPrinted>
  <dcterms:created xsi:type="dcterms:W3CDTF">2019-10-04T13:04:00Z</dcterms:created>
  <dcterms:modified xsi:type="dcterms:W3CDTF">2019-10-09T10:27:00Z</dcterms:modified>
</cp:coreProperties>
</file>